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c3b02" w14:textId="f3c3b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требований по энергоэффективности зданий, строений, сооружений и их элементов, являющихся частью ограждающих конструкций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31 марта 2015 года № 406. Зарегистрирован в Министерстве юстиции Республики Казахстан 17 июня 2015 года № 11378.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6-6)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января 2012 года "Об энергосбережении и повышении энергоэффективности"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энергоэффективности зданий, строений, сооружений и их элементов, являющихся частью ограждающих конструкций.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(Ержанов А.К.)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подпунктом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мая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2015 года № 406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</w:t>
      </w:r>
      <w:r>
        <w:br/>
      </w:r>
      <w:r>
        <w:rPr>
          <w:rFonts w:ascii="Times New Roman"/>
          <w:b/>
          <w:i w:val="false"/>
          <w:color w:val="000000"/>
        </w:rPr>
        <w:t>по энергоэффективности зданий, строений, сооружений и их</w:t>
      </w:r>
      <w:r>
        <w:br/>
      </w:r>
      <w:r>
        <w:rPr>
          <w:rFonts w:ascii="Times New Roman"/>
          <w:b/>
          <w:i w:val="false"/>
          <w:color w:val="000000"/>
        </w:rPr>
        <w:t>элементов, являющихся частью ограждающих конструкций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по энергоэффективности зданий, строений, сооружений и их элементов, являющихся частью ограждающих конструкций (далее – требования), разработаны в соответствии с подпунктом 6-6)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января 2012 года "Об энергосбережении и повышении энергоэффективности".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требованиях используются следующие основные понятия: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удельный расход тепловой энергии на отопление за отопительный период – нормализованное количество тепловой энергии за отопительный период, необходимое для компенсации теплопотерь здания с учетом воздухообмена и дополнительных тепловыделений при нормируемых параметрах теплового и воздушного режимов помещений в нем, отнесенное к единице площади здания, строения, сооружения или к единице отапливаемого объема и градусосуткам отопительного периода;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градусосутки отопительного периода (далее - ГСОП) – показатель, характеризующий степень суровости климата, является базовой расчетной величиной для определения сопротивления теплопередаче объектов, опосредованно характеризует уровень энергозатрат на поддержание параметров комфортности;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приведенное сопротивление теплопередаче фрагмента ограждающей конструкции – физическая величина, характеризующая усредненную по площади плотность потока теплоты через фрагмент теплозащитной оболочки здания, строения, сооружения в стационарных условиях теплопередачи, численно равная отношению разности температур по разные стороны фрагмента к усредненной по площади плотности потока теплоты через фрагмент;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теплозащитная оболочка здания, строения, сооружения – совокупность ограждающих конструкций, образующих замкнутый контур, ограничивающий отапливаемый объем здания, строения, сооружения;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удельная теплозащитная характеристика здания, строения, сооружения – физическая величина, характеризующая теплозащитную оболочку здания, строения, сооружения, численно равная потерям тепловой энергии единицы отапливаемого объема в единицу времени при перепаде температуры в 1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через теплозащитную оболочку здания, строения, сооружения;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нормируемое значение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удельной теплозащитной характеристики здания, строения, сооружения – физическая величина характеристики теплозащитной оболочки здания, строения, сооружения, которая численно равна потерям тепловой энергий через теплозащитную оболочку здания, строения, сооружения единицы отапливаемого объема в единицу времени при перепаде температуры в 1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класс энергоэффективности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здания, строения, сооружения – уровень экономичности энергопотребления здания, строения, сооружения, характеризующий его энергоэффективность на стадии эксплуатации;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часть ограждающей конструкции здания, строения, сооружения – элементы (стены, окна, двери (ворота), витражи, фонари, покрытия, перекрытия над техническими подпольями или над неотапливаемыми подвалами), создающие наружную оболочку здания, строения, сооружения;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энергетическая эффективность (далее – энергоэффективность) – количественное отношение объема предоставленных услуг, работ, выпущенной продукции (товаров) или произведенных энергетических ресурсов к затраченным на это исходным энергетическим ресурсам;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энергетические ресурсы – совокупность природных и произведенных носителей энергии, запасенная энергия которых используется в настоящее время или может быть использована в перспективе в хозяйственной и иных видах деятельности, а также виды энергии (атомная, электрическая, химическая, электромагнитная, тепловая и другие виды энергии).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здравоохранения РК от 03.11.2022 </w:t>
      </w:r>
      <w:r>
        <w:rPr>
          <w:rFonts w:ascii="Times New Roman"/>
          <w:b w:val="false"/>
          <w:i w:val="false"/>
          <w:color w:val="000000"/>
          <w:sz w:val="28"/>
        </w:rPr>
        <w:t>№ 613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 распространяются на проектируемые и строящиеся (реконструируемые, капитально ремонтируемые) здания, строения, сооружения.</w:t>
      </w:r>
    </w:p>
    <w:bookmarkEnd w:id="18"/>
    <w:bookmarkStart w:name="z1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Требования не распространяются на: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здания, строения, сооружения, которые отнесены к объектам историко-культурного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временные строения хозяйственного назначения, подсобные помещения, срок службы которых составляет не более двух лет;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индивидуальные жилые дома, а также строения, находящиеся на дачных и садовых участках;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отдельно стоящие здания, строения, сооружения общей площадью менее пятидесяти квадратных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культовые здания, строения и сооружения;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отдельно стоящие не отапливаемые здания, строения и сооружения.</w:t>
      </w:r>
    </w:p>
    <w:bookmarkStart w:name="z1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по энергоэффективности зданий,</w:t>
      </w:r>
      <w:r>
        <w:br/>
      </w:r>
      <w:r>
        <w:rPr>
          <w:rFonts w:ascii="Times New Roman"/>
          <w:b/>
          <w:i w:val="false"/>
          <w:color w:val="000000"/>
        </w:rPr>
        <w:t>строений, сооружений и их элементов, являющихся</w:t>
      </w:r>
      <w:r>
        <w:br/>
      </w:r>
      <w:r>
        <w:rPr>
          <w:rFonts w:ascii="Times New Roman"/>
          <w:b/>
          <w:i w:val="false"/>
          <w:color w:val="000000"/>
        </w:rPr>
        <w:t>частью ограждающих конструкций</w:t>
      </w:r>
    </w:p>
    <w:bookmarkEnd w:id="20"/>
    <w:bookmarkStart w:name="z1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Требованиями к влияющим на энергоэффективность здания, строения, сооружения архитектурным, объемно - планировочным, технологическим, конструктивным, инженерно-техническим решениям и включаемым в проектную документацию и применяемым при строительстве (реконструкции, капитальном ремонте) материалам, позволяющим исключить нерациональное (необоснованное) расходование энергетических ресурсов являются: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показатель нормируемой (базовой) удельной величины расхода тепловой энергии в здании, строении, сооружении должен быть не больше показателя, приведенного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показатель базового значения требуемого (нормируемого) сопротивления теплопередаче ограждающей конструкции должен быть не меньше показателя, приведенного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показатель нормируемого значения удельной теплозащитной характеристики здания, строения, сооружения должен быть не больше показателя, приведенного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требованиям.</w:t>
      </w:r>
    </w:p>
    <w:bookmarkStart w:name="z1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Экономически эффективное решение ограждающих конструкций здания, строения, сооружения выбирается с учетом конкретных климатических условий объекта строительства.</w:t>
      </w:r>
    </w:p>
    <w:bookmarkEnd w:id="22"/>
    <w:bookmarkStart w:name="z1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Проектная (проектно-сметная) документация строительства новых или расширения (капитальный ремонт, реконструкция) существующих зданий, строений, сооружений должна соответствовать </w:t>
      </w:r>
      <w:r>
        <w:rPr>
          <w:rFonts w:ascii="Times New Roman"/>
          <w:b w:val="false"/>
          <w:i w:val="false"/>
          <w:color w:val="000000"/>
          <w:sz w:val="28"/>
        </w:rPr>
        <w:t>классу энергоэффективности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здания, строения, сооружения "А", "В" или "С".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7-1. Информация о классе энергоэффективности размещается на добровольной основе, в доступном для общего пользования месте (на информационной доске в подъезде здания и/или в холле здания на уровне не ниже 1.5 метров и не выше 2 метров и/или на фасаде здания рядом с основным входом, на уровне не ниже 1,5 метров и не выше 2 метров) согласно форме маркировки зданий, строений, сооружений по энергоэффективности,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ноября 2015 года № 1106 (зарегистрирован в Реестре государственной регистрации нормативных правовых актов за № 12541) по инициативе заказчика (застройщика), собственника зданий, строений, сооружений, объединения собственников имущества многоквартирного жилого дома и (или) простого товарищества многоквартирного жилого дома.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7-1 в соответствии с приказом Министра индустрии и инфраструктурного развития РК от 04.11.2022 </w:t>
      </w:r>
      <w:r>
        <w:rPr>
          <w:rFonts w:ascii="Times New Roman"/>
          <w:b w:val="false"/>
          <w:i w:val="false"/>
          <w:color w:val="000000"/>
          <w:sz w:val="28"/>
        </w:rPr>
        <w:t>№ 613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Требования к используемым в зданиях, строениях, сооружениях инженерным системам, технологическим оборудованиям и включаемым в проектную документацию технологиям, позволяющим исключить нерациональное (необоснованный) расходование энергетических ресурсов, которым должны отвечать вводимое в эксплуатацию при строительстве, реконструкции и капитальном ремонте здание, строение, сооружение и их проектная документация включают: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оборудование автоматическими термостатическими клапанами на отопительных приборах систем отопления;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оборудование теплообменниками для нагрева воды на горячее водоснабжение с устройством автоматического регулирования ее температуры, установленными на вводе в здание или части здания, строения, сооружения;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оборудование электродвигателями для вентиляторов вентиляционных систем, перемещения воды во внутридомовых системах отопления, горячего и холодного водоснабжения, систем кондиционирования с использованием частно регулируемых приводов.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оборудование </w:t>
      </w:r>
      <w:r>
        <w:rPr>
          <w:rFonts w:ascii="Times New Roman"/>
          <w:b w:val="false"/>
          <w:i w:val="false"/>
          <w:color w:val="000000"/>
          <w:sz w:val="28"/>
        </w:rPr>
        <w:t>приборами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учета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энергетических и водных ресурсов, установленными на вводе в здание, в квартирах с горизонтальной (поквартирной) разводкой отопления;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оборудование устройствами, оптимизирующими работу вентиляционных систем (воздухопропускные клапаны в окнах или стенах, автоматически обеспечивающие подачу наружного воздуха по потребности, утилизаторы теплоты вытяжного воздуха для нагрева приточного или горячей воды на бытовые нужды, использование рециркуляции);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оборудование регуляторами давления воды в системах холодного и горячего водоснабжения на вводе в здание, строение, сооружение;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оборудование устройствами регулирования температуры в системах отопления, в том числе автоматического регулирования на основании данных, передаваемых приборами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оборудование устройствами автоматического снижения температуры воздуха (путем ограничения или полной остановки подачи тепла) в помещениях общественных зданий в нерабочее время в отопительный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оборудование энергосберегающими осветительными приборами в местах общего 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установка оборудования, обеспечивающего выключение освещения при отсутствии людей в местах общего пользования (датчики движения, выключатели);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оборудование устройствами компенсации реактивной мощности при работе электродвигателей;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оборудование дверными доводчиками (в многоквартирных домах - для всех дверей в местах общего пользования);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вторую дверь в тамбурах входных групп, обеспечивающей минимальные потери тепловой энергии, или вращающимися дверями;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оборудование ограничителями открывания окон (для многоквартирных домов – в помещениях общего пользования).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по энергоэффективности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зданий, строений, сооружений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элементов, являющихся частью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ограждающих конструкций</w:t>
            </w:r>
          </w:p>
        </w:tc>
      </w:tr>
    </w:tbl>
    <w:bookmarkStart w:name="z1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Нормируемая (базовая) удельная величина расхода</w:t>
      </w:r>
      <w:r>
        <w:br/>
      </w:r>
      <w:r>
        <w:rPr>
          <w:rFonts w:ascii="Times New Roman"/>
          <w:b/>
          <w:i w:val="false"/>
          <w:color w:val="000000"/>
        </w:rPr>
        <w:t xml:space="preserve">тепловой энергии на отопление и вентиляцию жилых и общественных зданий за отопительный период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4826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зданий,</w:t>
      </w: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Вт/(м</w:t>
      </w:r>
      <w:r>
        <w:rPr>
          <w:rFonts w:ascii="Times New Roman"/>
          <w:b/>
          <w:i w:val="false"/>
          <w:color w:val="000000"/>
          <w:vertAlign w:val="superscript"/>
        </w:rPr>
        <w:t>3</w:t>
      </w:r>
      <w:r>
        <w:rPr>
          <w:rFonts w:ascii="Times New Roman"/>
          <w:b/>
          <w:i w:val="false"/>
          <w:color w:val="000000"/>
        </w:rPr>
        <w:t>*</w:t>
      </w:r>
      <w:r>
        <w:rPr>
          <w:rFonts w:ascii="Times New Roman"/>
          <w:b/>
          <w:i w:val="false"/>
          <w:color w:val="000000"/>
          <w:vertAlign w:val="superscript"/>
        </w:rPr>
        <w:t>о</w:t>
      </w:r>
      <w:r>
        <w:rPr>
          <w:rFonts w:ascii="Times New Roman"/>
          <w:b/>
          <w:i w:val="false"/>
          <w:color w:val="000000"/>
        </w:rPr>
        <w:t>С)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здания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Этажность здания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 выше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многоквартирные, гостиницы, общежития, дома-интернаты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Общественные, кроме перечисленных в строках 3–6 таблицы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и лечебные учреждения,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учреждения, хосписы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Сервисного обслуживания, культурно-досуговой деятельности, технопарки, склады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Административного назначения (офисы)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Удельный расход тепловой энергии на отопление и вентиляцию здания за отопительный период q, кВт ч/(м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·год) или, кВт ч/(м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·год) следует определять по формулам: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653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3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кВт ч/(м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·год);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кВт ч/(м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·год);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q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удельная характеристика расхода тепловой энергии на отопление и вентиляцию зданий, Вт/(м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h - средняя высота этажа здания. Удельная ("теплозащитная") характеристика, Вт/(м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 равна количеству тепловой энергии, теряемой теплопередачей через оболочку здания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отапливаемого объема здания в единицу времени (в секунду) при перепаде температуры воздуха в 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Если умножить удельную теплозащитную характеристику на ГСОП и на размерный коэффициент 0,024, то получится количество тепловой энергии в кВт·ч, которое теряется через оболочку здания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отапливаемого объема за отопительный период, если это количество умножить на высоту этажа, то получится "удельный расход тепловой энергии на отопление здания", обусловленный теплопотерями через оболочку здания, измеряемый в кВт·ч/(м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·год).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по энергоэффективности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зданий, строений, сооружений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элементов, являющихся частью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ограждающих конструкций</w:t>
            </w:r>
          </w:p>
        </w:tc>
      </w:tr>
    </w:tbl>
    <w:bookmarkStart w:name="z2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значения требуемого (нормируемого) сопротивления</w:t>
      </w:r>
      <w:r>
        <w:br/>
      </w:r>
      <w:r>
        <w:rPr>
          <w:rFonts w:ascii="Times New Roman"/>
          <w:b/>
          <w:i w:val="false"/>
          <w:color w:val="000000"/>
        </w:rPr>
        <w:t>теплопередаче ограждающих конструкций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и помещения, коэффициенты а и b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Градусосутки отопительного периода ГСОП, оС сут/год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Нормируемые значения сопротивления теплопередаче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м2* оС/Вт, ограждающих конструкций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Покрытий и перекрытий над проездами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Перекрытий чердачных, над неотапливаемыми подпольями и подвалами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 и балконных дверей, витрин и витражей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Фонарей с вертикальным остеклением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Жилые, лечебно-профилактические и детские учреждения, школы, интернаты, гостиницы и общежития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Общественные, кроме указанных выше, административные и бытовые, производственные и другие здания и помещения с влажным или мокрым режимом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с сухим и нормальным режимами*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базовое значение требуемого (нормируемого) сопротивления теплопередаче ограждающих конструкций,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С/Вт.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Значения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величин ГСОП, отличающихся от табличных, следует определять по формуле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145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где ГСОП — градусо-сутки отопительного периода,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С·сут/год, для конкретного пункта;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a, b — коэффициенты, значения которых следует принимать по данным таблицы для соответствующих групп зданий, за исключением графы 6; для группы зданий в поз. 1, где для интервала до 6000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С·сут/год: а = 0,000075, b = 0,15; для интервала 6000-8000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С·сут/год: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= 0,00005, b = 0,3; для интервала 8000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С·сут/год и более: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= 0,000025; b = 0,5.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Нормируемое приведенное сопротивление теплопередаче глухой части балконных дверей должно быть не менее чем в 1,5 раза выше нормируемого сопротивления теплопередаче светопрозрачной части этих конструкций.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*Для зданий с избытками явной теплоты более 23 Вт/м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нормируемые значения сопротивления теплопередаче, должны определяться в специальных технических условиях, для каждого конкретного здания.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по энергоэффективности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зданий, строений, сооружений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элементов, являющихся частью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ограждающих конструкций</w:t>
            </w:r>
          </w:p>
        </w:tc>
      </w:tr>
    </w:tbl>
    <w:bookmarkStart w:name="z2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Нормируемые значения удельной теплозащитной характеристики</w:t>
      </w:r>
      <w:r>
        <w:br/>
      </w:r>
      <w:r>
        <w:rPr>
          <w:rFonts w:ascii="Times New Roman"/>
          <w:b/>
          <w:i w:val="false"/>
          <w:color w:val="000000"/>
        </w:rPr>
        <w:t>здания, строения, сооружения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Отапливаемый объем здания, V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191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Вт/(м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С), при значениях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ГСОП,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сут/год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191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нормируемое значение удельной теплозащитной характеристики здания, Вт/(м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Для промежуточных величин объема зданий и ГСОП, а также для величин отапливаемого объема здания, превышающих 200000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значение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191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рассчитываются по формулам, изложенным в СН РК 2.04-04-2011.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