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e760" w14:textId="65de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91. Зарегистрировано в Министерстве юстиции Республики Казахстан 14 июля 2015 года № 11669. Утратило силу постановлением Правления Национального Банка Республики Казахстан от 27 сентября 2018 года № 228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27.09.2018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методологии контроля и надзора (Абдрахманов Н.А.)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91</w:t>
            </w:r>
          </w:p>
        </w:tc>
      </w:tr>
    </w:tbl>
    <w:bookmarkStart w:name="z15" w:id="7"/>
    <w:p>
      <w:pPr>
        <w:spacing w:after="0"/>
        <w:ind w:left="0"/>
        <w:jc w:val="left"/>
      </w:pPr>
      <w:r>
        <w:rPr>
          <w:rFonts w:ascii="Times New Roman"/>
          <w:b/>
          <w:i w:val="false"/>
          <w:color w:val="000000"/>
        </w:rPr>
        <w:t xml:space="preserve"> Требования к использованию информационно-коммуникационных</w:t>
      </w:r>
      <w:r>
        <w:br/>
      </w:r>
      <w:r>
        <w:rPr>
          <w:rFonts w:ascii="Times New Roman"/>
          <w:b/>
          <w:i w:val="false"/>
          <w:color w:val="000000"/>
        </w:rPr>
        <w:t>технологий и обеспечению информационной безопасности при</w:t>
      </w:r>
      <w:r>
        <w:br/>
      </w:r>
      <w:r>
        <w:rPr>
          <w:rFonts w:ascii="Times New Roman"/>
          <w:b/>
          <w:i w:val="false"/>
          <w:color w:val="000000"/>
        </w:rPr>
        <w:t>организации деятельности кредитных бюро, поставщиков информации</w:t>
      </w:r>
      <w:r>
        <w:br/>
      </w:r>
      <w:r>
        <w:rPr>
          <w:rFonts w:ascii="Times New Roman"/>
          <w:b/>
          <w:i w:val="false"/>
          <w:color w:val="000000"/>
        </w:rPr>
        <w:t>и получателей кредитных отчетов</w:t>
      </w:r>
    </w:p>
    <w:bookmarkEnd w:id="7"/>
    <w:p>
      <w:pPr>
        <w:spacing w:after="0"/>
        <w:ind w:left="0"/>
        <w:jc w:val="both"/>
      </w:pPr>
      <w:r>
        <w:rPr>
          <w:rFonts w:ascii="Times New Roman"/>
          <w:b w:val="false"/>
          <w:i w:val="false"/>
          <w:color w:val="ff0000"/>
          <w:sz w:val="28"/>
        </w:rPr>
        <w:t xml:space="preserve">
      Сноска. В заголовок Требования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 w:id="8"/>
    <w:p>
      <w:pPr>
        <w:spacing w:after="0"/>
        <w:ind w:left="0"/>
        <w:jc w:val="both"/>
      </w:pPr>
      <w:r>
        <w:rPr>
          <w:rFonts w:ascii="Times New Roman"/>
          <w:b w:val="false"/>
          <w:i w:val="false"/>
          <w:color w:val="000000"/>
          <w:sz w:val="28"/>
        </w:rPr>
        <w:t xml:space="preserve">
      1. Настоящие Требования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(далее - Закон о кредитном бюро).</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кредитном бюро, и следующие понятия:</w:t>
      </w:r>
    </w:p>
    <w:bookmarkEnd w:id="9"/>
    <w:bookmarkStart w:name="z161" w:id="10"/>
    <w:p>
      <w:pPr>
        <w:spacing w:after="0"/>
        <w:ind w:left="0"/>
        <w:jc w:val="both"/>
      </w:pPr>
      <w:r>
        <w:rPr>
          <w:rFonts w:ascii="Times New Roman"/>
          <w:b w:val="false"/>
          <w:i w:val="false"/>
          <w:color w:val="000000"/>
          <w:sz w:val="28"/>
        </w:rPr>
        <w:t>
      1) администратор безопасности информационных систем (далее – администратор) – работник организации, обеспечивающий функционирование системы электронного получения и (или) передачи данных, реализацию мер по их защите, осуществляющий генерацию поступающей и (или) передаваемой информации, с учетом его функций и полномочий;</w:t>
      </w:r>
    </w:p>
    <w:bookmarkEnd w:id="10"/>
    <w:bookmarkStart w:name="z162" w:id="11"/>
    <w:p>
      <w:pPr>
        <w:spacing w:after="0"/>
        <w:ind w:left="0"/>
        <w:jc w:val="both"/>
      </w:pPr>
      <w:r>
        <w:rPr>
          <w:rFonts w:ascii="Times New Roman"/>
          <w:b w:val="false"/>
          <w:i w:val="false"/>
          <w:color w:val="000000"/>
          <w:sz w:val="28"/>
        </w:rPr>
        <w:t>
      2) комплекс мер по защите информационной системы – организационно-технические мероприятия, направленные на обеспечение безопасного функционирования информационной системы формирования и использования кредитных историй, в том числе программно-аппаратная защита электронных средств и компьютеров от несанкционированного доступа, обеспечивающая контроль доступа к установленному программному обеспечению и информации, предоставляющая средства разграничения полномочий зарегистрированных пользователей;</w:t>
      </w:r>
    </w:p>
    <w:bookmarkEnd w:id="11"/>
    <w:bookmarkStart w:name="z163" w:id="12"/>
    <w:p>
      <w:pPr>
        <w:spacing w:after="0"/>
        <w:ind w:left="0"/>
        <w:jc w:val="both"/>
      </w:pPr>
      <w:r>
        <w:rPr>
          <w:rFonts w:ascii="Times New Roman"/>
          <w:b w:val="false"/>
          <w:i w:val="false"/>
          <w:color w:val="000000"/>
          <w:sz w:val="28"/>
        </w:rPr>
        <w:t>
      3) политика информационной безопасности – внутренний документ, регламентирующий порядок управления, защиты и распределения информации ограниченного распространения;</w:t>
      </w:r>
    </w:p>
    <w:bookmarkEnd w:id="12"/>
    <w:bookmarkStart w:name="z164" w:id="13"/>
    <w:p>
      <w:pPr>
        <w:spacing w:after="0"/>
        <w:ind w:left="0"/>
        <w:jc w:val="both"/>
      </w:pPr>
      <w:r>
        <w:rPr>
          <w:rFonts w:ascii="Times New Roman"/>
          <w:b w:val="false"/>
          <w:i w:val="false"/>
          <w:color w:val="000000"/>
          <w:sz w:val="28"/>
        </w:rPr>
        <w:t>
      4) информационная среда – среда взаимодействия информационной системы участников системы формирования и использования кредитных историй с ее компонентами и информационными ресурсами;</w:t>
      </w:r>
    </w:p>
    <w:bookmarkEnd w:id="13"/>
    <w:bookmarkStart w:name="z165" w:id="14"/>
    <w:p>
      <w:pPr>
        <w:spacing w:after="0"/>
        <w:ind w:left="0"/>
        <w:jc w:val="both"/>
      </w:pPr>
      <w:r>
        <w:rPr>
          <w:rFonts w:ascii="Times New Roman"/>
          <w:b w:val="false"/>
          <w:i w:val="false"/>
          <w:color w:val="000000"/>
          <w:sz w:val="28"/>
        </w:rPr>
        <w:t>
      5) аутентификация – подтверждение подлинности субъекта или объекта доступа путем определения соответствия предъявленных реквизитов доступа, имеющимся в системе;</w:t>
      </w:r>
    </w:p>
    <w:bookmarkEnd w:id="14"/>
    <w:bookmarkStart w:name="z166" w:id="15"/>
    <w:p>
      <w:pPr>
        <w:spacing w:after="0"/>
        <w:ind w:left="0"/>
        <w:jc w:val="both"/>
      </w:pPr>
      <w:r>
        <w:rPr>
          <w:rFonts w:ascii="Times New Roman"/>
          <w:b w:val="false"/>
          <w:i w:val="false"/>
          <w:color w:val="000000"/>
          <w:sz w:val="28"/>
        </w:rPr>
        <w:t>
      6) ответственное лицо – оператор, администратор, ответственное лицо по кредитным историям и иные работники организации, ответственные за реализацию процесса приема, передачи и формирования кредитных историй;</w:t>
      </w:r>
    </w:p>
    <w:bookmarkEnd w:id="15"/>
    <w:bookmarkStart w:name="z167" w:id="16"/>
    <w:p>
      <w:pPr>
        <w:spacing w:after="0"/>
        <w:ind w:left="0"/>
        <w:jc w:val="both"/>
      </w:pPr>
      <w:r>
        <w:rPr>
          <w:rFonts w:ascii="Times New Roman"/>
          <w:b w:val="false"/>
          <w:i w:val="false"/>
          <w:color w:val="000000"/>
          <w:sz w:val="28"/>
        </w:rPr>
        <w:t xml:space="preserve">
      7) ответственное лицо по кредитным историям – работник организации, непосредственно осуществляющий подготовку, обработку, редактирование, прием и передачу кредитных историй с использованием подсистемы защиты; </w:t>
      </w:r>
    </w:p>
    <w:bookmarkEnd w:id="16"/>
    <w:bookmarkStart w:name="z168" w:id="17"/>
    <w:p>
      <w:pPr>
        <w:spacing w:after="0"/>
        <w:ind w:left="0"/>
        <w:jc w:val="both"/>
      </w:pPr>
      <w:r>
        <w:rPr>
          <w:rFonts w:ascii="Times New Roman"/>
          <w:b w:val="false"/>
          <w:i w:val="false"/>
          <w:color w:val="000000"/>
          <w:sz w:val="28"/>
        </w:rPr>
        <w:t>
      8) информационная система участников системы формирования и использования кредитных историй (далее – информационная система) – совокупность информационных технологий, информационных сетей и средств их программно-технического обеспечения, предназначенных для реализации информационных процессов поставщиками информации, кредитными бюро, получателями кредитных отчетов и субъектами кредитных историй;</w:t>
      </w:r>
    </w:p>
    <w:bookmarkEnd w:id="17"/>
    <w:bookmarkStart w:name="z169" w:id="18"/>
    <w:p>
      <w:pPr>
        <w:spacing w:after="0"/>
        <w:ind w:left="0"/>
        <w:jc w:val="both"/>
      </w:pPr>
      <w:r>
        <w:rPr>
          <w:rFonts w:ascii="Times New Roman"/>
          <w:b w:val="false"/>
          <w:i w:val="false"/>
          <w:color w:val="000000"/>
          <w:sz w:val="28"/>
        </w:rPr>
        <w:t>
      9) помещение ограниченного доступа – помещение, в котором разрешается пребывание ограниченного круга лиц и доступ других лиц осуществляется только в сопровождении специально допущенных работников;</w:t>
      </w:r>
    </w:p>
    <w:bookmarkEnd w:id="18"/>
    <w:bookmarkStart w:name="z170" w:id="19"/>
    <w:p>
      <w:pPr>
        <w:spacing w:after="0"/>
        <w:ind w:left="0"/>
        <w:jc w:val="both"/>
      </w:pPr>
      <w:r>
        <w:rPr>
          <w:rFonts w:ascii="Times New Roman"/>
          <w:b w:val="false"/>
          <w:i w:val="false"/>
          <w:color w:val="000000"/>
          <w:sz w:val="28"/>
        </w:rPr>
        <w:t>
      10) ключевая информация – криптографические ключи и ключи электронной цифровой подписи;</w:t>
      </w:r>
    </w:p>
    <w:bookmarkEnd w:id="19"/>
    <w:bookmarkStart w:name="z171" w:id="20"/>
    <w:p>
      <w:pPr>
        <w:spacing w:after="0"/>
        <w:ind w:left="0"/>
        <w:jc w:val="both"/>
      </w:pPr>
      <w:r>
        <w:rPr>
          <w:rFonts w:ascii="Times New Roman"/>
          <w:b w:val="false"/>
          <w:i w:val="false"/>
          <w:color w:val="000000"/>
          <w:sz w:val="28"/>
        </w:rPr>
        <w:t>
      11) оператор – работник организации, непосредственно осуществляющий подготовку, обработку, прием и передачу сообщений с использованием подсистемы защиты;</w:t>
      </w:r>
    </w:p>
    <w:bookmarkEnd w:id="20"/>
    <w:bookmarkStart w:name="z172" w:id="21"/>
    <w:p>
      <w:pPr>
        <w:spacing w:after="0"/>
        <w:ind w:left="0"/>
        <w:jc w:val="both"/>
      </w:pPr>
      <w:r>
        <w:rPr>
          <w:rFonts w:ascii="Times New Roman"/>
          <w:b w:val="false"/>
          <w:i w:val="false"/>
          <w:color w:val="000000"/>
          <w:sz w:val="28"/>
        </w:rPr>
        <w:t>
      12) ввод в промышленную эксплуатацию – процесс выполнения организационно-технических мероприятий по подготовке информационной системы и начало функционирования данной системы в промышленных условиях;</w:t>
      </w:r>
    </w:p>
    <w:bookmarkEnd w:id="21"/>
    <w:bookmarkStart w:name="z173" w:id="22"/>
    <w:p>
      <w:pPr>
        <w:spacing w:after="0"/>
        <w:ind w:left="0"/>
        <w:jc w:val="both"/>
      </w:pPr>
      <w:r>
        <w:rPr>
          <w:rFonts w:ascii="Times New Roman"/>
          <w:b w:val="false"/>
          <w:i w:val="false"/>
          <w:color w:val="000000"/>
          <w:sz w:val="28"/>
        </w:rPr>
        <w:t>
      13) пользователь – кредитное бюро и иные участники системы формирования кредитных историй и их использования (далее – участники системы кредитных историй), участвующие в обмене электронными документами и являющиеся сторонами договора о предоставлении информации и (или) получении кредитных отчетов;</w:t>
      </w:r>
    </w:p>
    <w:bookmarkEnd w:id="22"/>
    <w:bookmarkStart w:name="z174" w:id="23"/>
    <w:p>
      <w:pPr>
        <w:spacing w:after="0"/>
        <w:ind w:left="0"/>
        <w:jc w:val="both"/>
      </w:pPr>
      <w:r>
        <w:rPr>
          <w:rFonts w:ascii="Times New Roman"/>
          <w:b w:val="false"/>
          <w:i w:val="false"/>
          <w:color w:val="000000"/>
          <w:sz w:val="28"/>
        </w:rPr>
        <w:t>
      14) политика формирования и использования паролей – внутренний документ, регламентирующий порядок формирования и использования паролей;</w:t>
      </w:r>
    </w:p>
    <w:bookmarkEnd w:id="23"/>
    <w:bookmarkStart w:name="z175" w:id="24"/>
    <w:p>
      <w:pPr>
        <w:spacing w:after="0"/>
        <w:ind w:left="0"/>
        <w:jc w:val="both"/>
      </w:pPr>
      <w:r>
        <w:rPr>
          <w:rFonts w:ascii="Times New Roman"/>
          <w:b w:val="false"/>
          <w:i w:val="false"/>
          <w:color w:val="000000"/>
          <w:sz w:val="28"/>
        </w:rPr>
        <w:t>
      15) политика резервного копирования (архивирования) – внутренний документ, регламентирующий порядок резервного копирования (архивирования);</w:t>
      </w:r>
    </w:p>
    <w:bookmarkEnd w:id="24"/>
    <w:bookmarkStart w:name="z176" w:id="25"/>
    <w:p>
      <w:pPr>
        <w:spacing w:after="0"/>
        <w:ind w:left="0"/>
        <w:jc w:val="both"/>
      </w:pPr>
      <w:r>
        <w:rPr>
          <w:rFonts w:ascii="Times New Roman"/>
          <w:b w:val="false"/>
          <w:i w:val="false"/>
          <w:color w:val="000000"/>
          <w:sz w:val="28"/>
        </w:rPr>
        <w:t>
      16) идентификация – присвоение или определение соответствия предъявленного для получения доступа в систему и (или) к ресурсу системы идентификатора перечню идентификаторов, имеющихся в системе;</w:t>
      </w:r>
    </w:p>
    <w:bookmarkEnd w:id="25"/>
    <w:bookmarkStart w:name="z177" w:id="26"/>
    <w:p>
      <w:pPr>
        <w:spacing w:after="0"/>
        <w:ind w:left="0"/>
        <w:jc w:val="both"/>
      </w:pPr>
      <w:r>
        <w:rPr>
          <w:rFonts w:ascii="Times New Roman"/>
          <w:b w:val="false"/>
          <w:i w:val="false"/>
          <w:color w:val="000000"/>
          <w:sz w:val="28"/>
        </w:rPr>
        <w:t>
      17) идентификатор – уникальный персональный код и (или) имя, присвоенные субъекту и (или) объекту системы и предназначенные для регламентированного доступа в систему и (или) к ресурсам системы;</w:t>
      </w:r>
    </w:p>
    <w:bookmarkEnd w:id="26"/>
    <w:bookmarkStart w:name="z178" w:id="27"/>
    <w:p>
      <w:pPr>
        <w:spacing w:after="0"/>
        <w:ind w:left="0"/>
        <w:jc w:val="both"/>
      </w:pPr>
      <w:r>
        <w:rPr>
          <w:rFonts w:ascii="Times New Roman"/>
          <w:b w:val="false"/>
          <w:i w:val="false"/>
          <w:color w:val="000000"/>
          <w:sz w:val="28"/>
        </w:rPr>
        <w:t>
      18) уполномоченный орган – уполномоченный орган, осуществляющий регулирование, контроль и надзор финансового рынка и финансовых организаций;</w:t>
      </w:r>
    </w:p>
    <w:bookmarkEnd w:id="27"/>
    <w:bookmarkStart w:name="z179" w:id="28"/>
    <w:p>
      <w:pPr>
        <w:spacing w:after="0"/>
        <w:ind w:left="0"/>
        <w:jc w:val="both"/>
      </w:pPr>
      <w:r>
        <w:rPr>
          <w:rFonts w:ascii="Times New Roman"/>
          <w:b w:val="false"/>
          <w:i w:val="false"/>
          <w:color w:val="000000"/>
          <w:sz w:val="28"/>
        </w:rPr>
        <w:t>
      19) организация – участник системы формирования кредитных историй и их использования (за исключением субъектов кредитных историй), принимающий участие в информационной системе в соответствии с Требованиями.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3. Организация и функционирование информационной системы обеспечивают:</w:t>
      </w:r>
    </w:p>
    <w:bookmarkEnd w:id="29"/>
    <w:p>
      <w:pPr>
        <w:spacing w:after="0"/>
        <w:ind w:left="0"/>
        <w:jc w:val="both"/>
      </w:pPr>
      <w:r>
        <w:rPr>
          <w:rFonts w:ascii="Times New Roman"/>
          <w:b w:val="false"/>
          <w:i w:val="false"/>
          <w:color w:val="000000"/>
          <w:sz w:val="28"/>
        </w:rPr>
        <w:t>
      1) координацию и управляемость деятельности ее участников в рамках согласованных процедур и технологических параметров;</w:t>
      </w:r>
    </w:p>
    <w:p>
      <w:pPr>
        <w:spacing w:after="0"/>
        <w:ind w:left="0"/>
        <w:jc w:val="both"/>
      </w:pPr>
      <w:r>
        <w:rPr>
          <w:rFonts w:ascii="Times New Roman"/>
          <w:b w:val="false"/>
          <w:i w:val="false"/>
          <w:color w:val="000000"/>
          <w:sz w:val="28"/>
        </w:rPr>
        <w:t>
      2) унификацию используемых программных и технических средств;</w:t>
      </w:r>
    </w:p>
    <w:p>
      <w:pPr>
        <w:spacing w:after="0"/>
        <w:ind w:left="0"/>
        <w:jc w:val="both"/>
      </w:pPr>
      <w:r>
        <w:rPr>
          <w:rFonts w:ascii="Times New Roman"/>
          <w:b w:val="false"/>
          <w:i w:val="false"/>
          <w:color w:val="000000"/>
          <w:sz w:val="28"/>
        </w:rPr>
        <w:t>
      3) информационную безопасность, включая устранение возможности раскрытия информации;</w:t>
      </w:r>
    </w:p>
    <w:p>
      <w:pPr>
        <w:spacing w:after="0"/>
        <w:ind w:left="0"/>
        <w:jc w:val="both"/>
      </w:pPr>
      <w:r>
        <w:rPr>
          <w:rFonts w:ascii="Times New Roman"/>
          <w:b w:val="false"/>
          <w:i w:val="false"/>
          <w:color w:val="000000"/>
          <w:sz w:val="28"/>
        </w:rPr>
        <w:t>
      4) внедрение высокоэффективных технологий;</w:t>
      </w:r>
    </w:p>
    <w:p>
      <w:pPr>
        <w:spacing w:after="0"/>
        <w:ind w:left="0"/>
        <w:jc w:val="both"/>
      </w:pPr>
      <w:r>
        <w:rPr>
          <w:rFonts w:ascii="Times New Roman"/>
          <w:b w:val="false"/>
          <w:i w:val="false"/>
          <w:color w:val="000000"/>
          <w:sz w:val="28"/>
        </w:rPr>
        <w:t>
      5) гибкое и эффективное управление ресурсами;</w:t>
      </w:r>
    </w:p>
    <w:p>
      <w:pPr>
        <w:spacing w:after="0"/>
        <w:ind w:left="0"/>
        <w:jc w:val="both"/>
      </w:pPr>
      <w:r>
        <w:rPr>
          <w:rFonts w:ascii="Times New Roman"/>
          <w:b w:val="false"/>
          <w:i w:val="false"/>
          <w:color w:val="000000"/>
          <w:sz w:val="28"/>
        </w:rPr>
        <w:t>
      6) рост качества услуг.</w:t>
      </w:r>
    </w:p>
    <w:p>
      <w:pPr>
        <w:spacing w:after="0"/>
        <w:ind w:left="0"/>
        <w:jc w:val="both"/>
      </w:pPr>
      <w:r>
        <w:rPr>
          <w:rFonts w:ascii="Times New Roman"/>
          <w:b w:val="false"/>
          <w:i w:val="false"/>
          <w:color w:val="000000"/>
          <w:sz w:val="28"/>
        </w:rPr>
        <w:t>
      4. Организация обеспечивает:</w:t>
      </w:r>
    </w:p>
    <w:p>
      <w:pPr>
        <w:spacing w:after="0"/>
        <w:ind w:left="0"/>
        <w:jc w:val="both"/>
      </w:pPr>
      <w:r>
        <w:rPr>
          <w:rFonts w:ascii="Times New Roman"/>
          <w:b w:val="false"/>
          <w:i w:val="false"/>
          <w:color w:val="000000"/>
          <w:sz w:val="28"/>
        </w:rPr>
        <w:t>
      1) контроль ввода данных;</w:t>
      </w:r>
    </w:p>
    <w:p>
      <w:pPr>
        <w:spacing w:after="0"/>
        <w:ind w:left="0"/>
        <w:jc w:val="both"/>
      </w:pPr>
      <w:r>
        <w:rPr>
          <w:rFonts w:ascii="Times New Roman"/>
          <w:b w:val="false"/>
          <w:i w:val="false"/>
          <w:color w:val="000000"/>
          <w:sz w:val="28"/>
        </w:rPr>
        <w:t>
      2) возможность вычисления параметров документов (номеров документов, кода связи, номера договора);</w:t>
      </w:r>
    </w:p>
    <w:p>
      <w:pPr>
        <w:spacing w:after="0"/>
        <w:ind w:left="0"/>
        <w:jc w:val="both"/>
      </w:pPr>
      <w:r>
        <w:rPr>
          <w:rFonts w:ascii="Times New Roman"/>
          <w:b w:val="false"/>
          <w:i w:val="false"/>
          <w:color w:val="000000"/>
          <w:sz w:val="28"/>
        </w:rPr>
        <w:t>
      3) генерацию сводной информации;</w:t>
      </w:r>
    </w:p>
    <w:p>
      <w:pPr>
        <w:spacing w:after="0"/>
        <w:ind w:left="0"/>
        <w:jc w:val="both"/>
      </w:pPr>
      <w:r>
        <w:rPr>
          <w:rFonts w:ascii="Times New Roman"/>
          <w:b w:val="false"/>
          <w:i w:val="false"/>
          <w:color w:val="000000"/>
          <w:sz w:val="28"/>
        </w:rPr>
        <w:t>
      4) создание резервных копий, архивирование данных;</w:t>
      </w:r>
    </w:p>
    <w:p>
      <w:pPr>
        <w:spacing w:after="0"/>
        <w:ind w:left="0"/>
        <w:jc w:val="both"/>
      </w:pPr>
      <w:r>
        <w:rPr>
          <w:rFonts w:ascii="Times New Roman"/>
          <w:b w:val="false"/>
          <w:i w:val="false"/>
          <w:color w:val="000000"/>
          <w:sz w:val="28"/>
        </w:rPr>
        <w:t>
      5) использование информационных систем, имеющих штатные средства защиты, с контролем за правами доступа;</w:t>
      </w:r>
    </w:p>
    <w:p>
      <w:pPr>
        <w:spacing w:after="0"/>
        <w:ind w:left="0"/>
        <w:jc w:val="both"/>
      </w:pPr>
      <w:r>
        <w:rPr>
          <w:rFonts w:ascii="Times New Roman"/>
          <w:b w:val="false"/>
          <w:i w:val="false"/>
          <w:color w:val="000000"/>
          <w:sz w:val="28"/>
        </w:rPr>
        <w:t>
      6) наличие регламентированных процедур предоставления и получения электронных сообщений;</w:t>
      </w:r>
    </w:p>
    <w:p>
      <w:pPr>
        <w:spacing w:after="0"/>
        <w:ind w:left="0"/>
        <w:jc w:val="both"/>
      </w:pPr>
      <w:r>
        <w:rPr>
          <w:rFonts w:ascii="Times New Roman"/>
          <w:b w:val="false"/>
          <w:i w:val="false"/>
          <w:color w:val="000000"/>
          <w:sz w:val="28"/>
        </w:rPr>
        <w:t>
      7) возможность подготовки аналитических и статистических отчетов.</w:t>
      </w:r>
    </w:p>
    <w:bookmarkStart w:name="z36" w:id="30"/>
    <w:p>
      <w:pPr>
        <w:spacing w:after="0"/>
        <w:ind w:left="0"/>
        <w:jc w:val="both"/>
      </w:pPr>
      <w:r>
        <w:rPr>
          <w:rFonts w:ascii="Times New Roman"/>
          <w:b w:val="false"/>
          <w:i w:val="false"/>
          <w:color w:val="000000"/>
          <w:sz w:val="28"/>
        </w:rPr>
        <w:t xml:space="preserve">
      5. Поставщики информации и получатели кредитного отчета обеспечивают выполнение организационных, технологических условий и требований кредитного бюро, вытекающих из заключенных с ним договоров о предоставлении информации и (или) получении кредитных отчетов и внутренних документов кредитного бюро,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кредитном бюро.</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6. Информация, представленная поставщиком информации, возвращается кредитным бюро без ее использования в информационной системе формирования и использования кредитных историй в связи с ее неправильным или неполным оформлением, несоответствием данных поставщика информации, получателя кредитного отчета, субъекта кредитной истории требованиям в используемой информационной системе.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Кредитные бюро</w:t>
      </w:r>
      <w:r>
        <w:rPr>
          <w:rFonts w:ascii="Times New Roman"/>
          <w:b w:val="false"/>
          <w:i w:val="false"/>
          <w:color w:val="000000"/>
          <w:sz w:val="28"/>
        </w:rPr>
        <w:t xml:space="preserve"> передают поставщикам информации и получателям кредитных отчетов специализированное программное обеспечение, необходимое для реализации информационных процессов, либо устанавливают соответствующие требования к используемому ими программному обеспечению. В случае самостоятельной разработки специализированного программного обеспечения поставщиками информации и получателями кредитных отчетов оно согласуется с кредитными бюро.</w:t>
      </w:r>
    </w:p>
    <w:bookmarkEnd w:id="32"/>
    <w:bookmarkStart w:name="z39" w:id="33"/>
    <w:p>
      <w:pPr>
        <w:spacing w:after="0"/>
        <w:ind w:left="0"/>
        <w:jc w:val="both"/>
      </w:pPr>
      <w:r>
        <w:rPr>
          <w:rFonts w:ascii="Times New Roman"/>
          <w:b w:val="false"/>
          <w:i w:val="false"/>
          <w:color w:val="000000"/>
          <w:sz w:val="28"/>
        </w:rPr>
        <w:t>
      8. Процесс разработки, внедрения и сопровождения информационных систем включает в себя определение этапов разработки, порядка внесения изменений, приема, тестирования и ввода в промышленную эксплуатацию, требования к документированию всех этапов.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30.05.2016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9. Разработка, внедрение и сопровождение информационных систем кредитными бюро выполняются в соответствии с их внутренними документами и действующими на территории Республики Казахстан стандартами.</w:t>
      </w:r>
    </w:p>
    <w:bookmarkEnd w:id="34"/>
    <w:bookmarkStart w:name="z41" w:id="35"/>
    <w:p>
      <w:pPr>
        <w:spacing w:after="0"/>
        <w:ind w:left="0"/>
        <w:jc w:val="both"/>
      </w:pPr>
      <w:r>
        <w:rPr>
          <w:rFonts w:ascii="Times New Roman"/>
          <w:b w:val="false"/>
          <w:i w:val="false"/>
          <w:color w:val="000000"/>
          <w:sz w:val="28"/>
        </w:rPr>
        <w:t>
      10. Разработка информационных систем выполняется кредитными бюро на основании технического задания, утвержденного его первым руководителем.</w:t>
      </w:r>
    </w:p>
    <w:bookmarkEnd w:id="35"/>
    <w:bookmarkStart w:name="z42" w:id="36"/>
    <w:p>
      <w:pPr>
        <w:spacing w:after="0"/>
        <w:ind w:left="0"/>
        <w:jc w:val="both"/>
      </w:pPr>
      <w:r>
        <w:rPr>
          <w:rFonts w:ascii="Times New Roman"/>
          <w:b w:val="false"/>
          <w:i w:val="false"/>
          <w:color w:val="000000"/>
          <w:sz w:val="28"/>
        </w:rPr>
        <w:t>
      11. В целях исключения несанкционированного изменения программного обеспечения и (или) данных информационной системы при необходимости внесения изменений (для устранения недостатков или доработки системы) в программное обеспечение процесс внесения изменений осуществляется в соответствии с техническим заданием, стандартами, действующими на территории Республики Казахстан, и политикой информационной безопасности кредитных бюро.</w:t>
      </w:r>
    </w:p>
    <w:bookmarkEnd w:id="36"/>
    <w:bookmarkStart w:name="z43" w:id="37"/>
    <w:p>
      <w:pPr>
        <w:spacing w:after="0"/>
        <w:ind w:left="0"/>
        <w:jc w:val="both"/>
      </w:pPr>
      <w:r>
        <w:rPr>
          <w:rFonts w:ascii="Times New Roman"/>
          <w:b w:val="false"/>
          <w:i w:val="false"/>
          <w:color w:val="000000"/>
          <w:sz w:val="28"/>
        </w:rPr>
        <w:t>
      12.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применяются сертифицированные оборудование и программное обеспечение.</w:t>
      </w:r>
    </w:p>
    <w:bookmarkEnd w:id="37"/>
    <w:bookmarkStart w:name="z44" w:id="38"/>
    <w:p>
      <w:pPr>
        <w:spacing w:after="0"/>
        <w:ind w:left="0"/>
        <w:jc w:val="both"/>
      </w:pPr>
      <w:r>
        <w:rPr>
          <w:rFonts w:ascii="Times New Roman"/>
          <w:b w:val="false"/>
          <w:i w:val="false"/>
          <w:color w:val="000000"/>
          <w:sz w:val="28"/>
        </w:rPr>
        <w:t>
      13. Кредитное бюро осуществляет обмен данными с поставщиками информации и получателями кредитных отчетов по выделенным каналам связи или через интернет-ресурс при условии:</w:t>
      </w:r>
    </w:p>
    <w:bookmarkEnd w:id="38"/>
    <w:p>
      <w:pPr>
        <w:spacing w:after="0"/>
        <w:ind w:left="0"/>
        <w:jc w:val="both"/>
      </w:pPr>
      <w:r>
        <w:rPr>
          <w:rFonts w:ascii="Times New Roman"/>
          <w:b w:val="false"/>
          <w:i w:val="false"/>
          <w:color w:val="000000"/>
          <w:sz w:val="28"/>
        </w:rPr>
        <w:t>
      1) наличия основного канала пропускной способностью не менее 10 мегабит в секунду;</w:t>
      </w:r>
    </w:p>
    <w:p>
      <w:pPr>
        <w:spacing w:after="0"/>
        <w:ind w:left="0"/>
        <w:jc w:val="both"/>
      </w:pPr>
      <w:r>
        <w:rPr>
          <w:rFonts w:ascii="Times New Roman"/>
          <w:b w:val="false"/>
          <w:i w:val="false"/>
          <w:color w:val="000000"/>
          <w:sz w:val="28"/>
        </w:rPr>
        <w:t>
      2) наличия беспроводного резервного канала пропускной способностью не менее 2 мегабит в секунду;</w:t>
      </w:r>
    </w:p>
    <w:p>
      <w:pPr>
        <w:spacing w:after="0"/>
        <w:ind w:left="0"/>
        <w:jc w:val="both"/>
      </w:pPr>
      <w:r>
        <w:rPr>
          <w:rFonts w:ascii="Times New Roman"/>
          <w:b w:val="false"/>
          <w:i w:val="false"/>
          <w:color w:val="000000"/>
          <w:sz w:val="28"/>
        </w:rPr>
        <w:t>
      3) использования каналов разных провайдеров;</w:t>
      </w:r>
    </w:p>
    <w:p>
      <w:pPr>
        <w:spacing w:after="0"/>
        <w:ind w:left="0"/>
        <w:jc w:val="both"/>
      </w:pPr>
      <w:r>
        <w:rPr>
          <w:rFonts w:ascii="Times New Roman"/>
          <w:b w:val="false"/>
          <w:i w:val="false"/>
          <w:color w:val="000000"/>
          <w:sz w:val="28"/>
        </w:rPr>
        <w:t>
      4) использования каналов исключительно для обмена информацией с поставщиками информации и получателями кредитных отчетов.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0" w:id="39"/>
    <w:p>
      <w:pPr>
        <w:spacing w:after="0"/>
        <w:ind w:left="0"/>
        <w:jc w:val="both"/>
      </w:pPr>
      <w:r>
        <w:rPr>
          <w:rFonts w:ascii="Times New Roman"/>
          <w:b w:val="false"/>
          <w:i w:val="false"/>
          <w:color w:val="000000"/>
          <w:sz w:val="28"/>
        </w:rPr>
        <w:t>
      13-1. Обязательным условием заключения договора о предоставлении информации или договора о получении кредитных отчетов является соответствие поставщика информации или получателя кредитных отчетов Требованиям.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13-1 в соответствии с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14. Для подтверждения соответствия требованиям, предъявляемым к участникам системы формирования кредитных историй и их использования (за исключением кредитного бюро, субъекта кредитной истории), поставщик информации или получатель кредитных отчетов направляет в уполномоченный орган заявление на бумажном носителе, заполненное в произвольной форме.</w:t>
      </w:r>
    </w:p>
    <w:bookmarkEnd w:id="40"/>
    <w:bookmarkStart w:name="z14" w:id="41"/>
    <w:p>
      <w:pPr>
        <w:spacing w:after="0"/>
        <w:ind w:left="0"/>
        <w:jc w:val="both"/>
      </w:pPr>
      <w:r>
        <w:rPr>
          <w:rFonts w:ascii="Times New Roman"/>
          <w:b w:val="false"/>
          <w:i w:val="false"/>
          <w:color w:val="000000"/>
          <w:sz w:val="28"/>
        </w:rPr>
        <w:t xml:space="preserve">
      Соблюдение организацией организационно-технических, технологических требований по защите программного обеспечения, соответствие используемых информационных систем установленными Требованиями и законодательством Республики Казахстан условиям и требованиям подтверждаются комиссией уполномоченного органа путем составления акта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 (далее - акт о соответствии).</w:t>
      </w:r>
    </w:p>
    <w:bookmarkEnd w:id="41"/>
    <w:bookmarkStart w:name="z15" w:id="42"/>
    <w:p>
      <w:pPr>
        <w:spacing w:after="0"/>
        <w:ind w:left="0"/>
        <w:jc w:val="both"/>
      </w:pPr>
      <w:r>
        <w:rPr>
          <w:rFonts w:ascii="Times New Roman"/>
          <w:b w:val="false"/>
          <w:i w:val="false"/>
          <w:color w:val="000000"/>
          <w:sz w:val="28"/>
        </w:rPr>
        <w:t>
      Акт о соответствии согласовывается всеми членами комиссии, после чего направляется на подписание представителю проверяемой организации. Если один из членов комиссии не согласен с принятым решением и не подписывает акт о соответствии, он представляет в письменной форме информацию о причинах своего отказа комиссии и прилагает их к акту о соответствии.</w:t>
      </w:r>
    </w:p>
    <w:bookmarkEnd w:id="42"/>
    <w:bookmarkStart w:name="z16" w:id="43"/>
    <w:p>
      <w:pPr>
        <w:spacing w:after="0"/>
        <w:ind w:left="0"/>
        <w:jc w:val="both"/>
      </w:pPr>
      <w:r>
        <w:rPr>
          <w:rFonts w:ascii="Times New Roman"/>
          <w:b w:val="false"/>
          <w:i w:val="false"/>
          <w:color w:val="000000"/>
          <w:sz w:val="28"/>
        </w:rPr>
        <w:t>
      Акт о соответствии считается составленным при наличии двух третей подписей о согласовании членов комиссии уполномоченного органа.</w:t>
      </w:r>
    </w:p>
    <w:bookmarkEnd w:id="43"/>
    <w:bookmarkStart w:name="z181" w:id="44"/>
    <w:p>
      <w:pPr>
        <w:spacing w:after="0"/>
        <w:ind w:left="0"/>
        <w:jc w:val="both"/>
      </w:pPr>
      <w:r>
        <w:rPr>
          <w:rFonts w:ascii="Times New Roman"/>
          <w:b w:val="false"/>
          <w:i w:val="false"/>
          <w:color w:val="000000"/>
          <w:sz w:val="28"/>
        </w:rPr>
        <w:t xml:space="preserve">
      Соблюдение микрофинансовой организацией, субъектом естественной монополии, оказывающим коммунальные услуги (далее – субъект естественной монополии), кредитным товариществом, коллекторским агентством организационно-технических, технологических требований по защите программного обеспечения, соответствие используемых информационных систем установленным Требованиями условиям и требованиям подтверждаются уполномоченным органом путем представления заключения о соответствии требованиям, предъявляемым к микрофинансовым организациям, субъектам естественной монополии, кредитным товариществам или коллекторским агентствам,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(далее – заключение уполномоченного органа).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30.05.2016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15. Обмен информацией между поставщиками информации (за исключением микрофинансовых организаций, субъектов естественных монополий, кредитных товариществ, коллекторских агентств), получателями кредитных отчетов и кредитными бюро осуществляется при наличии акта о соответствии с положительным заключением.</w:t>
      </w:r>
    </w:p>
    <w:bookmarkEnd w:id="45"/>
    <w:p>
      <w:pPr>
        <w:spacing w:after="0"/>
        <w:ind w:left="0"/>
        <w:jc w:val="both"/>
      </w:pPr>
      <w:r>
        <w:rPr>
          <w:rFonts w:ascii="Times New Roman"/>
          <w:b w:val="false"/>
          <w:i w:val="false"/>
          <w:color w:val="000000"/>
          <w:sz w:val="28"/>
        </w:rPr>
        <w:t>
      Обмен информацией между поставщиками информации, являющимися микрофинансовыми организациями, субъектами естественных монополий, кредитными товариществами, коллекторскими агентствами, а также получателями кредитных отчетов и кредитными бюро осуществляется при наличии положительного заключения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16. Входящий и исходящий трафики обеспечиваются криптографической защитой информации.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17. Внутренние процедуры определяют:</w:t>
      </w:r>
    </w:p>
    <w:bookmarkEnd w:id="47"/>
    <w:p>
      <w:pPr>
        <w:spacing w:after="0"/>
        <w:ind w:left="0"/>
        <w:jc w:val="both"/>
      </w:pPr>
      <w:r>
        <w:rPr>
          <w:rFonts w:ascii="Times New Roman"/>
          <w:b w:val="false"/>
          <w:i w:val="false"/>
          <w:color w:val="000000"/>
          <w:sz w:val="28"/>
        </w:rPr>
        <w:t>
      условия, порядок и сроки проведения сверки;</w:t>
      </w:r>
    </w:p>
    <w:p>
      <w:pPr>
        <w:spacing w:after="0"/>
        <w:ind w:left="0"/>
        <w:jc w:val="both"/>
      </w:pPr>
      <w:r>
        <w:rPr>
          <w:rFonts w:ascii="Times New Roman"/>
          <w:b w:val="false"/>
          <w:i w:val="false"/>
          <w:color w:val="000000"/>
          <w:sz w:val="28"/>
        </w:rPr>
        <w:t>
      параметры информации, подлежащей сверке;</w:t>
      </w:r>
    </w:p>
    <w:p>
      <w:pPr>
        <w:spacing w:after="0"/>
        <w:ind w:left="0"/>
        <w:jc w:val="both"/>
      </w:pPr>
      <w:r>
        <w:rPr>
          <w:rFonts w:ascii="Times New Roman"/>
          <w:b w:val="false"/>
          <w:i w:val="false"/>
          <w:color w:val="000000"/>
          <w:sz w:val="28"/>
        </w:rPr>
        <w:t>
      требование к программному обеспечению, необходимому для реализации информационных процессов, связанных со сверкой;</w:t>
      </w:r>
    </w:p>
    <w:p>
      <w:pPr>
        <w:spacing w:after="0"/>
        <w:ind w:left="0"/>
        <w:jc w:val="both"/>
      </w:pPr>
      <w:r>
        <w:rPr>
          <w:rFonts w:ascii="Times New Roman"/>
          <w:b w:val="false"/>
          <w:i w:val="false"/>
          <w:color w:val="000000"/>
          <w:sz w:val="28"/>
        </w:rPr>
        <w:t>
      порядок обеспечения защиты информации, подлежащей сверке;</w:t>
      </w:r>
    </w:p>
    <w:p>
      <w:pPr>
        <w:spacing w:after="0"/>
        <w:ind w:left="0"/>
        <w:jc w:val="both"/>
      </w:pPr>
      <w:r>
        <w:rPr>
          <w:rFonts w:ascii="Times New Roman"/>
          <w:b w:val="false"/>
          <w:i w:val="false"/>
          <w:color w:val="000000"/>
          <w:sz w:val="28"/>
        </w:rPr>
        <w:t>
      порядок возмещения кредитному бюро с государственным участием фактических расходов, понесенных в связи с проведением сверки.</w:t>
      </w:r>
    </w:p>
    <w:bookmarkStart w:name="z49" w:id="48"/>
    <w:p>
      <w:pPr>
        <w:spacing w:after="0"/>
        <w:ind w:left="0"/>
        <w:jc w:val="both"/>
      </w:pPr>
      <w:r>
        <w:rPr>
          <w:rFonts w:ascii="Times New Roman"/>
          <w:b w:val="false"/>
          <w:i w:val="false"/>
          <w:color w:val="000000"/>
          <w:sz w:val="28"/>
        </w:rPr>
        <w:t>
      18. Кредитное бюро для обеспечения достоверности информации, хранимой в базе данных кредитных историй кредитного бюро, не менее одного раза в год проводит ее сверку с информацией кредитного бюро с государственным участием на условиях, в порядке и сроки, определенные внутренними процедурами кредитного бюро с государственным участием.</w:t>
      </w:r>
    </w:p>
    <w:bookmarkEnd w:id="48"/>
    <w:p>
      <w:pPr>
        <w:spacing w:after="0"/>
        <w:ind w:left="0"/>
        <w:jc w:val="both"/>
      </w:pPr>
      <w:r>
        <w:rPr>
          <w:rFonts w:ascii="Times New Roman"/>
          <w:b w:val="false"/>
          <w:i w:val="false"/>
          <w:color w:val="000000"/>
          <w:sz w:val="28"/>
        </w:rPr>
        <w:t>
      Сверка информации, хранящейся в базе данных кредитных историй кредитного бюро, проводится не позднее двадцатого рабочего дня последнего месяца отчетного года.</w:t>
      </w:r>
    </w:p>
    <w:p>
      <w:pPr>
        <w:spacing w:after="0"/>
        <w:ind w:left="0"/>
        <w:jc w:val="both"/>
      </w:pPr>
      <w:r>
        <w:rPr>
          <w:rFonts w:ascii="Times New Roman"/>
          <w:b w:val="false"/>
          <w:i w:val="false"/>
          <w:color w:val="000000"/>
          <w:sz w:val="28"/>
        </w:rPr>
        <w:t>
      Объем информации, подлежащей сверке, определяется кредитным бюро самостоятельно при условии соответствия параметров информации, подлежащих сверке, параметрам информации, определенным во внутренних процедурах кредитного бюро с государственным участием.</w:t>
      </w:r>
    </w:p>
    <w:bookmarkStart w:name="z50" w:id="49"/>
    <w:p>
      <w:pPr>
        <w:spacing w:after="0"/>
        <w:ind w:left="0"/>
        <w:jc w:val="both"/>
      </w:pPr>
      <w:r>
        <w:rPr>
          <w:rFonts w:ascii="Times New Roman"/>
          <w:b w:val="false"/>
          <w:i w:val="false"/>
          <w:color w:val="000000"/>
          <w:sz w:val="28"/>
        </w:rPr>
        <w:t>
      19. Кредитное бюро с государственным участием сверяет информацию, принятую от иного кредитного бюро, с информацией, содержащейся в базе данных кредитных историй кредитного бюро с государственным участием, в срок, установленный внутренними процедурами.</w:t>
      </w:r>
    </w:p>
    <w:bookmarkEnd w:id="49"/>
    <w:bookmarkStart w:name="z51" w:id="50"/>
    <w:p>
      <w:pPr>
        <w:spacing w:after="0"/>
        <w:ind w:left="0"/>
        <w:jc w:val="both"/>
      </w:pPr>
      <w:r>
        <w:rPr>
          <w:rFonts w:ascii="Times New Roman"/>
          <w:b w:val="false"/>
          <w:i w:val="false"/>
          <w:color w:val="000000"/>
          <w:sz w:val="28"/>
        </w:rPr>
        <w:t>
      20. Уполномоченные представители кредитного бюро с государственным участием и иного кредитного бюро подтверждают соответствие или несоответствие информации, содержащейся в их базах данных кредитных историй, подлежащей сверке, путем составления в произвольной форме акта сверки или акта несоответствия.</w:t>
      </w:r>
    </w:p>
    <w:bookmarkEnd w:id="50"/>
    <w:p>
      <w:pPr>
        <w:spacing w:after="0"/>
        <w:ind w:left="0"/>
        <w:jc w:val="both"/>
      </w:pPr>
      <w:r>
        <w:rPr>
          <w:rFonts w:ascii="Times New Roman"/>
          <w:b w:val="false"/>
          <w:i w:val="false"/>
          <w:color w:val="000000"/>
          <w:sz w:val="28"/>
        </w:rPr>
        <w:t>
      При составлении акта несоответствия кредитное бюро с государственным участием в течение двух рабочих дней со дня составления представляет его копию в уполномоченный орган.</w:t>
      </w:r>
    </w:p>
    <w:bookmarkStart w:name="z52" w:id="51"/>
    <w:p>
      <w:pPr>
        <w:spacing w:after="0"/>
        <w:ind w:left="0"/>
        <w:jc w:val="both"/>
      </w:pPr>
      <w:r>
        <w:rPr>
          <w:rFonts w:ascii="Times New Roman"/>
          <w:b w:val="false"/>
          <w:i w:val="false"/>
          <w:color w:val="000000"/>
          <w:sz w:val="28"/>
        </w:rPr>
        <w:t>
      21. Акт сверки или акт несоответствия составляется в двух экземплярах по одному для каждой из сторон, подписывается уполномоченными представителями сторон, осуществляющими сверку, и заверяется их печатями.</w:t>
      </w:r>
    </w:p>
    <w:bookmarkEnd w:id="51"/>
    <w:bookmarkStart w:name="z53" w:id="52"/>
    <w:p>
      <w:pPr>
        <w:spacing w:after="0"/>
        <w:ind w:left="0"/>
        <w:jc w:val="both"/>
      </w:pPr>
      <w:r>
        <w:rPr>
          <w:rFonts w:ascii="Times New Roman"/>
          <w:b w:val="false"/>
          <w:i w:val="false"/>
          <w:color w:val="000000"/>
          <w:sz w:val="28"/>
        </w:rPr>
        <w:t>
      22. Акты сверки хранятся до проведения очередной сверки. Акты несоответствия подлежат хранению в течение пяти лет со дня их составления.</w:t>
      </w:r>
    </w:p>
    <w:bookmarkEnd w:id="52"/>
    <w:bookmarkStart w:name="z54" w:id="53"/>
    <w:p>
      <w:pPr>
        <w:spacing w:after="0"/>
        <w:ind w:left="0"/>
        <w:jc w:val="both"/>
      </w:pPr>
      <w:r>
        <w:rPr>
          <w:rFonts w:ascii="Times New Roman"/>
          <w:b w:val="false"/>
          <w:i w:val="false"/>
          <w:color w:val="000000"/>
          <w:sz w:val="28"/>
        </w:rPr>
        <w:t>
      23. Кредитное бюро и кредитное бюро с государственным участием в течение десяти рабочих дней со дня составления акта несоответствия принимают меры по устранению выявленных несоответствий. О результатах принятых мер по устранению выявленных несоответствий кредитное бюро с государственным участием в течение трех рабочих дней уведомляет уполномоченный орган.</w:t>
      </w:r>
    </w:p>
    <w:bookmarkEnd w:id="53"/>
    <w:bookmarkStart w:name="z55" w:id="54"/>
    <w:p>
      <w:pPr>
        <w:spacing w:after="0"/>
        <w:ind w:left="0"/>
        <w:jc w:val="both"/>
      </w:pPr>
      <w:r>
        <w:rPr>
          <w:rFonts w:ascii="Times New Roman"/>
          <w:b w:val="false"/>
          <w:i w:val="false"/>
          <w:color w:val="000000"/>
          <w:sz w:val="28"/>
        </w:rPr>
        <w:t>
      24. Кредитное бюро размещается в нежилом здании, помещении с ограниченным доступом.</w:t>
      </w:r>
    </w:p>
    <w:bookmarkEnd w:id="54"/>
    <w:bookmarkStart w:name="z56" w:id="55"/>
    <w:p>
      <w:pPr>
        <w:spacing w:after="0"/>
        <w:ind w:left="0"/>
        <w:jc w:val="both"/>
      </w:pPr>
      <w:r>
        <w:rPr>
          <w:rFonts w:ascii="Times New Roman"/>
          <w:b w:val="false"/>
          <w:i w:val="false"/>
          <w:color w:val="000000"/>
          <w:sz w:val="28"/>
        </w:rPr>
        <w:t>
      25. Система безопасности кредитного бюро отвечает требованиям, установленным Требованиями к:</w:t>
      </w:r>
    </w:p>
    <w:bookmarkEnd w:id="55"/>
    <w:p>
      <w:pPr>
        <w:spacing w:after="0"/>
        <w:ind w:left="0"/>
        <w:jc w:val="both"/>
      </w:pPr>
      <w:r>
        <w:rPr>
          <w:rFonts w:ascii="Times New Roman"/>
          <w:b w:val="false"/>
          <w:i w:val="false"/>
          <w:color w:val="000000"/>
          <w:sz w:val="28"/>
        </w:rPr>
        <w:t>
      1) серверному помещению и помещению ограниченного доступа;</w:t>
      </w:r>
    </w:p>
    <w:p>
      <w:pPr>
        <w:spacing w:after="0"/>
        <w:ind w:left="0"/>
        <w:jc w:val="both"/>
      </w:pPr>
      <w:r>
        <w:rPr>
          <w:rFonts w:ascii="Times New Roman"/>
          <w:b w:val="false"/>
          <w:i w:val="false"/>
          <w:color w:val="000000"/>
          <w:sz w:val="28"/>
        </w:rPr>
        <w:t>
      2) системному программному обеспечению, используемому для автоматизации деятельности кредитного бюро;</w:t>
      </w:r>
    </w:p>
    <w:p>
      <w:pPr>
        <w:spacing w:after="0"/>
        <w:ind w:left="0"/>
        <w:jc w:val="both"/>
      </w:pPr>
      <w:r>
        <w:rPr>
          <w:rFonts w:ascii="Times New Roman"/>
          <w:b w:val="false"/>
          <w:i w:val="false"/>
          <w:color w:val="000000"/>
          <w:sz w:val="28"/>
        </w:rPr>
        <w:t>
      3) специализированному программному обеспечению (информационной системе), используемому для автоматизации деятельности кредитного бюро;</w:t>
      </w:r>
    </w:p>
    <w:p>
      <w:pPr>
        <w:spacing w:after="0"/>
        <w:ind w:left="0"/>
        <w:jc w:val="both"/>
      </w:pPr>
      <w:r>
        <w:rPr>
          <w:rFonts w:ascii="Times New Roman"/>
          <w:b w:val="false"/>
          <w:i w:val="false"/>
          <w:color w:val="000000"/>
          <w:sz w:val="28"/>
        </w:rPr>
        <w:t>
      4) техническим средствам (информационным ресурсам) кредитного бюро;</w:t>
      </w:r>
    </w:p>
    <w:p>
      <w:pPr>
        <w:spacing w:after="0"/>
        <w:ind w:left="0"/>
        <w:jc w:val="both"/>
      </w:pPr>
      <w:r>
        <w:rPr>
          <w:rFonts w:ascii="Times New Roman"/>
          <w:b w:val="false"/>
          <w:i w:val="false"/>
          <w:color w:val="000000"/>
          <w:sz w:val="28"/>
        </w:rPr>
        <w:t>
      5) обеспечению безопасности информации.</w:t>
      </w:r>
    </w:p>
    <w:bookmarkStart w:name="z57" w:id="56"/>
    <w:p>
      <w:pPr>
        <w:spacing w:after="0"/>
        <w:ind w:left="0"/>
        <w:jc w:val="both"/>
      </w:pPr>
      <w:r>
        <w:rPr>
          <w:rFonts w:ascii="Times New Roman"/>
          <w:b w:val="false"/>
          <w:i w:val="false"/>
          <w:color w:val="000000"/>
          <w:sz w:val="28"/>
        </w:rPr>
        <w:t>
      26. Оборудованное серверное помещение кредитного бюро содержит:</w:t>
      </w:r>
    </w:p>
    <w:bookmarkEnd w:id="56"/>
    <w:p>
      <w:pPr>
        <w:spacing w:after="0"/>
        <w:ind w:left="0"/>
        <w:jc w:val="both"/>
      </w:pPr>
      <w:r>
        <w:rPr>
          <w:rFonts w:ascii="Times New Roman"/>
          <w:b w:val="false"/>
          <w:i w:val="false"/>
          <w:color w:val="000000"/>
          <w:sz w:val="28"/>
        </w:rPr>
        <w:t>
      1) систему контроля доступа (индивидуальный электронный пропуск);</w:t>
      </w:r>
    </w:p>
    <w:p>
      <w:pPr>
        <w:spacing w:after="0"/>
        <w:ind w:left="0"/>
        <w:jc w:val="both"/>
      </w:pPr>
      <w:r>
        <w:rPr>
          <w:rFonts w:ascii="Times New Roman"/>
          <w:b w:val="false"/>
          <w:i w:val="false"/>
          <w:color w:val="000000"/>
          <w:sz w:val="28"/>
        </w:rPr>
        <w:t>
      2) систему видеоконтроля входа в серверное помещение и кроссовые комнаты;</w:t>
      </w:r>
    </w:p>
    <w:p>
      <w:pPr>
        <w:spacing w:after="0"/>
        <w:ind w:left="0"/>
        <w:jc w:val="both"/>
      </w:pPr>
      <w:r>
        <w:rPr>
          <w:rFonts w:ascii="Times New Roman"/>
          <w:b w:val="false"/>
          <w:i w:val="false"/>
          <w:color w:val="000000"/>
          <w:sz w:val="28"/>
        </w:rPr>
        <w:t>
      3) автоматическую систему газового пожаротушения с обязательным полным резервом баллонов с газом, подключенную к системе гарантированного питания;</w:t>
      </w:r>
    </w:p>
    <w:p>
      <w:pPr>
        <w:spacing w:after="0"/>
        <w:ind w:left="0"/>
        <w:jc w:val="both"/>
      </w:pPr>
      <w:r>
        <w:rPr>
          <w:rFonts w:ascii="Times New Roman"/>
          <w:b w:val="false"/>
          <w:i w:val="false"/>
          <w:color w:val="000000"/>
          <w:sz w:val="28"/>
        </w:rPr>
        <w:t>
      4) систему охранной сигнализации дверей, окон и датчики движения внутри гермозоны;</w:t>
      </w:r>
    </w:p>
    <w:p>
      <w:pPr>
        <w:spacing w:after="0"/>
        <w:ind w:left="0"/>
        <w:jc w:val="both"/>
      </w:pPr>
      <w:r>
        <w:rPr>
          <w:rFonts w:ascii="Times New Roman"/>
          <w:b w:val="false"/>
          <w:i w:val="false"/>
          <w:color w:val="000000"/>
          <w:sz w:val="28"/>
        </w:rPr>
        <w:t>
      5) безотказную систему чистого питания, находящуюся в гермозоне серверной комнаты;</w:t>
      </w:r>
    </w:p>
    <w:p>
      <w:pPr>
        <w:spacing w:after="0"/>
        <w:ind w:left="0"/>
        <w:jc w:val="both"/>
      </w:pPr>
      <w:r>
        <w:rPr>
          <w:rFonts w:ascii="Times New Roman"/>
          <w:b w:val="false"/>
          <w:i w:val="false"/>
          <w:color w:val="000000"/>
          <w:sz w:val="28"/>
        </w:rPr>
        <w:t>
      6) систему гарантированного питания всей электрической сети серверной и кроссовых комнат, включая круглосуточное дежурное освещение;</w:t>
      </w:r>
    </w:p>
    <w:p>
      <w:pPr>
        <w:spacing w:after="0"/>
        <w:ind w:left="0"/>
        <w:jc w:val="both"/>
      </w:pPr>
      <w:r>
        <w:rPr>
          <w:rFonts w:ascii="Times New Roman"/>
          <w:b w:val="false"/>
          <w:i w:val="false"/>
          <w:color w:val="000000"/>
          <w:sz w:val="28"/>
        </w:rPr>
        <w:t>
      7) систему кондиционирования с полным резервом.</w:t>
      </w:r>
    </w:p>
    <w:bookmarkStart w:name="z58" w:id="57"/>
    <w:p>
      <w:pPr>
        <w:spacing w:after="0"/>
        <w:ind w:left="0"/>
        <w:jc w:val="both"/>
      </w:pPr>
      <w:r>
        <w:rPr>
          <w:rFonts w:ascii="Times New Roman"/>
          <w:b w:val="false"/>
          <w:i w:val="false"/>
          <w:color w:val="000000"/>
          <w:sz w:val="28"/>
        </w:rPr>
        <w:t>
      27. Серверное помещение располагается в местах, где возможно впоследствии расширение пространства и есть возможность размещения крупногабаритной аппаратуры, и отвечает следующим требованиям:</w:t>
      </w:r>
    </w:p>
    <w:bookmarkEnd w:id="57"/>
    <w:p>
      <w:pPr>
        <w:spacing w:after="0"/>
        <w:ind w:left="0"/>
        <w:jc w:val="both"/>
      </w:pPr>
      <w:r>
        <w:rPr>
          <w:rFonts w:ascii="Times New Roman"/>
          <w:b w:val="false"/>
          <w:i w:val="false"/>
          <w:color w:val="000000"/>
          <w:sz w:val="28"/>
        </w:rPr>
        <w:t>
      1) минимальный допустимый размер серверной комнаты - 20 квадратных метров;</w:t>
      </w:r>
    </w:p>
    <w:p>
      <w:pPr>
        <w:spacing w:after="0"/>
        <w:ind w:left="0"/>
        <w:jc w:val="both"/>
      </w:pPr>
      <w:r>
        <w:rPr>
          <w:rFonts w:ascii="Times New Roman"/>
          <w:b w:val="false"/>
          <w:i w:val="false"/>
          <w:color w:val="000000"/>
          <w:sz w:val="28"/>
        </w:rPr>
        <w:t>
      2) серверная комната соединена с главным электродом системы заземления здания кондуитом размером 1,5;</w:t>
      </w:r>
    </w:p>
    <w:p>
      <w:pPr>
        <w:spacing w:after="0"/>
        <w:ind w:left="0"/>
        <w:jc w:val="both"/>
      </w:pPr>
      <w:r>
        <w:rPr>
          <w:rFonts w:ascii="Times New Roman"/>
          <w:b w:val="false"/>
          <w:i w:val="false"/>
          <w:color w:val="000000"/>
          <w:sz w:val="28"/>
        </w:rPr>
        <w:t>
      3) требуемая минимальная высота потолка серверной комнаты составляет 2,44 метра.</w:t>
      </w:r>
    </w:p>
    <w:bookmarkStart w:name="z59" w:id="58"/>
    <w:p>
      <w:pPr>
        <w:spacing w:after="0"/>
        <w:ind w:left="0"/>
        <w:jc w:val="both"/>
      </w:pPr>
      <w:r>
        <w:rPr>
          <w:rFonts w:ascii="Times New Roman"/>
          <w:b w:val="false"/>
          <w:i w:val="false"/>
          <w:color w:val="000000"/>
          <w:sz w:val="28"/>
        </w:rPr>
        <w:t>
      28. Помещение ограниченного доступа кредитного бюро соответствует следующим требованиям:</w:t>
      </w:r>
    </w:p>
    <w:bookmarkEnd w:id="58"/>
    <w:p>
      <w:pPr>
        <w:spacing w:after="0"/>
        <w:ind w:left="0"/>
        <w:jc w:val="both"/>
      </w:pPr>
      <w:r>
        <w:rPr>
          <w:rFonts w:ascii="Times New Roman"/>
          <w:b w:val="false"/>
          <w:i w:val="false"/>
          <w:color w:val="000000"/>
          <w:sz w:val="28"/>
        </w:rPr>
        <w:t>
      1) наличие системы контроля доступа (индивидуальный электронный пропуск), которая исключает возможность неконтролируемого проникновения в это помещение лиц, не допущенных к рабочему месту ответственного лица;</w:t>
      </w:r>
    </w:p>
    <w:p>
      <w:pPr>
        <w:spacing w:after="0"/>
        <w:ind w:left="0"/>
        <w:jc w:val="both"/>
      </w:pPr>
      <w:r>
        <w:rPr>
          <w:rFonts w:ascii="Times New Roman"/>
          <w:b w:val="false"/>
          <w:i w:val="false"/>
          <w:color w:val="000000"/>
          <w:sz w:val="28"/>
        </w:rPr>
        <w:t>
      2) наличие системы видеоконтроля входа (видеокамера с постоянной записью);</w:t>
      </w:r>
    </w:p>
    <w:p>
      <w:pPr>
        <w:spacing w:after="0"/>
        <w:ind w:left="0"/>
        <w:jc w:val="both"/>
      </w:pPr>
      <w:r>
        <w:rPr>
          <w:rFonts w:ascii="Times New Roman"/>
          <w:b w:val="false"/>
          <w:i w:val="false"/>
          <w:color w:val="000000"/>
          <w:sz w:val="28"/>
        </w:rPr>
        <w:t>
      3) наличие системы пожарной сигнализации;</w:t>
      </w:r>
    </w:p>
    <w:p>
      <w:pPr>
        <w:spacing w:after="0"/>
        <w:ind w:left="0"/>
        <w:jc w:val="both"/>
      </w:pPr>
      <w:r>
        <w:rPr>
          <w:rFonts w:ascii="Times New Roman"/>
          <w:b w:val="false"/>
          <w:i w:val="false"/>
          <w:color w:val="000000"/>
          <w:sz w:val="28"/>
        </w:rPr>
        <w:t>
      4) наличие системы охранной сигнализации;</w:t>
      </w:r>
    </w:p>
    <w:p>
      <w:pPr>
        <w:spacing w:after="0"/>
        <w:ind w:left="0"/>
        <w:jc w:val="both"/>
      </w:pPr>
      <w:r>
        <w:rPr>
          <w:rFonts w:ascii="Times New Roman"/>
          <w:b w:val="false"/>
          <w:i w:val="false"/>
          <w:color w:val="000000"/>
          <w:sz w:val="28"/>
        </w:rPr>
        <w:t>
      5) запрещается располагать в помещении рабочие места, не имеющие отношения к деятельности кредитного бюро;</w:t>
      </w:r>
    </w:p>
    <w:p>
      <w:pPr>
        <w:spacing w:after="0"/>
        <w:ind w:left="0"/>
        <w:jc w:val="both"/>
      </w:pPr>
      <w:r>
        <w:rPr>
          <w:rFonts w:ascii="Times New Roman"/>
          <w:b w:val="false"/>
          <w:i w:val="false"/>
          <w:color w:val="000000"/>
          <w:sz w:val="28"/>
        </w:rPr>
        <w:t>
      6) при расположении помещения ограниченного доступа на первых или последних этажах зданий, а также при наличии рядом с окнами балконов, пожарных лестниц окна помещения ограниченного доступа оборудуются металлическими решетками;</w:t>
      </w:r>
    </w:p>
    <w:p>
      <w:pPr>
        <w:spacing w:after="0"/>
        <w:ind w:left="0"/>
        <w:jc w:val="both"/>
      </w:pPr>
      <w:r>
        <w:rPr>
          <w:rFonts w:ascii="Times New Roman"/>
          <w:b w:val="false"/>
          <w:i w:val="false"/>
          <w:color w:val="000000"/>
          <w:sz w:val="28"/>
        </w:rPr>
        <w:t>
      7) в помещении ограниченного доступа размещаются рабочие места ответственных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29. К помещению ограниченного доступа поставщиков информации (за исключением микрофинансовой организации, субъекта естественной монополии, кредитного товарищества, коллекторского агентства) и получателей кредитных отчетов предъявляются требования, установленные подпунктами 1), 3), 4), 5) и 6) </w:t>
      </w:r>
      <w:r>
        <w:rPr>
          <w:rFonts w:ascii="Times New Roman"/>
          <w:b w:val="false"/>
          <w:i w:val="false"/>
          <w:color w:val="000000"/>
          <w:sz w:val="28"/>
        </w:rPr>
        <w:t>пункта 28</w:t>
      </w:r>
      <w:r>
        <w:rPr>
          <w:rFonts w:ascii="Times New Roman"/>
          <w:b w:val="false"/>
          <w:i w:val="false"/>
          <w:color w:val="000000"/>
          <w:sz w:val="28"/>
        </w:rPr>
        <w:t xml:space="preserve"> Требований, доступ в помещение ограничивается списком ответственных лиц, и все их посещения регистрируются в журнале посещений с указанием фамилии, имени, отчества (при его наличии), должности, даты, времени и цели посещения.</w:t>
      </w:r>
    </w:p>
    <w:bookmarkEnd w:id="59"/>
    <w:p>
      <w:pPr>
        <w:spacing w:after="0"/>
        <w:ind w:left="0"/>
        <w:jc w:val="both"/>
      </w:pPr>
      <w:r>
        <w:rPr>
          <w:rFonts w:ascii="Times New Roman"/>
          <w:b w:val="false"/>
          <w:i w:val="false"/>
          <w:color w:val="000000"/>
          <w:sz w:val="28"/>
        </w:rPr>
        <w:t>
      К помещению ограниченного доступа микрофинансовой организации, кредитного товарищества предъявляются требования, установленные в подпунктах 1), 3), 4) и 5) пункта 28 Требований, доступ в помещение ограничивается списком ответственных лиц, и все их посещения регистрируются в журнале посещений с указанием фамилии, имени, отчества (при его наличии), должности, даты, времени и цели посещения.</w:t>
      </w:r>
    </w:p>
    <w:p>
      <w:pPr>
        <w:spacing w:after="0"/>
        <w:ind w:left="0"/>
        <w:jc w:val="both"/>
      </w:pPr>
      <w:r>
        <w:rPr>
          <w:rFonts w:ascii="Times New Roman"/>
          <w:b w:val="false"/>
          <w:i w:val="false"/>
          <w:color w:val="000000"/>
          <w:sz w:val="28"/>
        </w:rPr>
        <w:t>
      При наличии общей системы охранной сигнализации в здании, в котором расположены микрофинансовая организация, кредитное товарищество, отдельная охранная сигнализация на помещение ограниченного доступа микрофинансовой организации, кредитного товарищества не требуется.</w:t>
      </w:r>
    </w:p>
    <w:p>
      <w:pPr>
        <w:spacing w:after="0"/>
        <w:ind w:left="0"/>
        <w:jc w:val="both"/>
      </w:pPr>
      <w:r>
        <w:rPr>
          <w:rFonts w:ascii="Times New Roman"/>
          <w:b w:val="false"/>
          <w:i w:val="false"/>
          <w:color w:val="000000"/>
          <w:sz w:val="28"/>
        </w:rPr>
        <w:t xml:space="preserve">
      Для субъектов естественной монополии, коллекторских агентств не требуется организация помещения ограниченного доступа. При этом к помещению, где размещено рабочее место ответственного лица субъекта естественных монополий, коллекторского агентства, предъявляется требование, установленное подпунктом 3) </w:t>
      </w:r>
      <w:r>
        <w:rPr>
          <w:rFonts w:ascii="Times New Roman"/>
          <w:b w:val="false"/>
          <w:i w:val="false"/>
          <w:color w:val="000000"/>
          <w:sz w:val="28"/>
        </w:rPr>
        <w:t>пункта 28</w:t>
      </w:r>
      <w:r>
        <w:rPr>
          <w:rFonts w:ascii="Times New Roman"/>
          <w:b w:val="false"/>
          <w:i w:val="false"/>
          <w:color w:val="000000"/>
          <w:sz w:val="28"/>
        </w:rPr>
        <w:t xml:space="preserve">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30. К рабочему месту ответственного лица предъявляются следующие требования:</w:t>
      </w:r>
    </w:p>
    <w:bookmarkEnd w:id="60"/>
    <w:bookmarkStart w:name="z236" w:id="61"/>
    <w:p>
      <w:pPr>
        <w:spacing w:after="0"/>
        <w:ind w:left="0"/>
        <w:jc w:val="both"/>
      </w:pPr>
      <w:r>
        <w:rPr>
          <w:rFonts w:ascii="Times New Roman"/>
          <w:b w:val="false"/>
          <w:i w:val="false"/>
          <w:color w:val="000000"/>
          <w:sz w:val="28"/>
        </w:rPr>
        <w:t>
      1) программное обеспечение устанавливается на специально выделенном персональном компьютере, имеющем паспорт, в котором указано его месторасположение, конфигурация, а также аппаратные и программные средства, установленные на нем. Паспорт подписывается руководителем организации и хранится у ответственного лица;</w:t>
      </w:r>
    </w:p>
    <w:bookmarkEnd w:id="61"/>
    <w:bookmarkStart w:name="z226" w:id="62"/>
    <w:p>
      <w:pPr>
        <w:spacing w:after="0"/>
        <w:ind w:left="0"/>
        <w:jc w:val="both"/>
      </w:pPr>
      <w:r>
        <w:rPr>
          <w:rFonts w:ascii="Times New Roman"/>
          <w:b w:val="false"/>
          <w:i w:val="false"/>
          <w:color w:val="000000"/>
          <w:sz w:val="28"/>
        </w:rPr>
        <w:t>
      2) не допускаются эксплуатация персонального компьютера ответственного лица и установка на нем программных средств, не связанных с целями подготовки, обработки, передачи или ведения электронных документов в рамках участия в информационной системе;</w:t>
      </w:r>
    </w:p>
    <w:bookmarkEnd w:id="62"/>
    <w:bookmarkStart w:name="z227" w:id="63"/>
    <w:p>
      <w:pPr>
        <w:spacing w:after="0"/>
        <w:ind w:left="0"/>
        <w:jc w:val="both"/>
      </w:pPr>
      <w:r>
        <w:rPr>
          <w:rFonts w:ascii="Times New Roman"/>
          <w:b w:val="false"/>
          <w:i w:val="false"/>
          <w:color w:val="000000"/>
          <w:sz w:val="28"/>
        </w:rPr>
        <w:t>
      3) персональный компьютер ответственного лица имеет комплекс защиты, включающий в себя:</w:t>
      </w:r>
    </w:p>
    <w:bookmarkEnd w:id="63"/>
    <w:bookmarkStart w:name="z228" w:id="64"/>
    <w:p>
      <w:pPr>
        <w:spacing w:after="0"/>
        <w:ind w:left="0"/>
        <w:jc w:val="both"/>
      </w:pPr>
      <w:r>
        <w:rPr>
          <w:rFonts w:ascii="Times New Roman"/>
          <w:b w:val="false"/>
          <w:i w:val="false"/>
          <w:color w:val="000000"/>
          <w:sz w:val="28"/>
        </w:rPr>
        <w:t>
      средства идентификации и аутентификации пользователей;</w:t>
      </w:r>
    </w:p>
    <w:bookmarkEnd w:id="64"/>
    <w:bookmarkStart w:name="z229" w:id="65"/>
    <w:p>
      <w:pPr>
        <w:spacing w:after="0"/>
        <w:ind w:left="0"/>
        <w:jc w:val="both"/>
      </w:pPr>
      <w:r>
        <w:rPr>
          <w:rFonts w:ascii="Times New Roman"/>
          <w:b w:val="false"/>
          <w:i w:val="false"/>
          <w:color w:val="000000"/>
          <w:sz w:val="28"/>
        </w:rPr>
        <w:t>
      возможность ведения системных журналов в течение срока хранения электронных документов с целью контроля деятельности, связанной с доступом к компьютеру и действиями пользователей;</w:t>
      </w:r>
    </w:p>
    <w:bookmarkEnd w:id="65"/>
    <w:bookmarkStart w:name="z237" w:id="66"/>
    <w:p>
      <w:pPr>
        <w:spacing w:after="0"/>
        <w:ind w:left="0"/>
        <w:jc w:val="both"/>
      </w:pPr>
      <w:r>
        <w:rPr>
          <w:rFonts w:ascii="Times New Roman"/>
          <w:b w:val="false"/>
          <w:i w:val="false"/>
          <w:color w:val="000000"/>
          <w:sz w:val="28"/>
        </w:rPr>
        <w:t>
      4) наличие одного системного имени пользователя (ответственного лица), по которому идентифицируется пользователь и которое при входе в информационную систему соответствует одному физическому лицу;</w:t>
      </w:r>
    </w:p>
    <w:bookmarkEnd w:id="66"/>
    <w:bookmarkStart w:name="z231" w:id="67"/>
    <w:p>
      <w:pPr>
        <w:spacing w:after="0"/>
        <w:ind w:left="0"/>
        <w:jc w:val="both"/>
      </w:pPr>
      <w:r>
        <w:rPr>
          <w:rFonts w:ascii="Times New Roman"/>
          <w:b w:val="false"/>
          <w:i w:val="false"/>
          <w:color w:val="000000"/>
          <w:sz w:val="28"/>
        </w:rPr>
        <w:t>
      5) программное обеспечение, установленное на персональном компьютере, является лицензионным;</w:t>
      </w:r>
    </w:p>
    <w:bookmarkEnd w:id="67"/>
    <w:bookmarkStart w:name="z232" w:id="68"/>
    <w:p>
      <w:pPr>
        <w:spacing w:after="0"/>
        <w:ind w:left="0"/>
        <w:jc w:val="both"/>
      </w:pPr>
      <w:r>
        <w:rPr>
          <w:rFonts w:ascii="Times New Roman"/>
          <w:b w:val="false"/>
          <w:i w:val="false"/>
          <w:color w:val="000000"/>
          <w:sz w:val="28"/>
        </w:rPr>
        <w:t>
      6) доступ к сетевым ресурсам и внешним носителям, а также к портам ввода-вывода информации с персонального компьютера оператора отключен, в том числе и в настройках базовой системы ввода-вывода;</w:t>
      </w:r>
    </w:p>
    <w:bookmarkEnd w:id="68"/>
    <w:bookmarkStart w:name="z238" w:id="69"/>
    <w:p>
      <w:pPr>
        <w:spacing w:after="0"/>
        <w:ind w:left="0"/>
        <w:jc w:val="both"/>
      </w:pPr>
      <w:r>
        <w:rPr>
          <w:rFonts w:ascii="Times New Roman"/>
          <w:b w:val="false"/>
          <w:i w:val="false"/>
          <w:color w:val="000000"/>
          <w:sz w:val="28"/>
        </w:rPr>
        <w:t>
      7) системный блок, все порты ввода-вывода информации персонального компьютера, к которым могут быть подключены внешние носители, опечатываются либо пломбируются администратором. Процесс опечатывания (пломбирования) фиксируется в специальном журнале с указанием фамилии, имени, отчества (при его наличии), должности, даты, времени и цели нанесения для каждой пломбы (печати);</w:t>
      </w:r>
    </w:p>
    <w:bookmarkEnd w:id="69"/>
    <w:bookmarkStart w:name="z234" w:id="70"/>
    <w:p>
      <w:pPr>
        <w:spacing w:after="0"/>
        <w:ind w:left="0"/>
        <w:jc w:val="both"/>
      </w:pPr>
      <w:r>
        <w:rPr>
          <w:rFonts w:ascii="Times New Roman"/>
          <w:b w:val="false"/>
          <w:i w:val="false"/>
          <w:color w:val="000000"/>
          <w:sz w:val="28"/>
        </w:rPr>
        <w:t>
      8) порядок доступа к иным ресурсам (дисковое пространство, директории базы данных и резервные копии базы данных), выделенным для накопления в них информации в целях передачи в информационную среду с использованием системы защиты, получения информации из информационной среды, хранения, архивирования либо другой обработки информации, исключает возможность несанкционированного доступа к этим ресурсам;</w:t>
      </w:r>
    </w:p>
    <w:bookmarkEnd w:id="70"/>
    <w:bookmarkStart w:name="z239" w:id="71"/>
    <w:p>
      <w:pPr>
        <w:spacing w:after="0"/>
        <w:ind w:left="0"/>
        <w:jc w:val="both"/>
      </w:pPr>
      <w:r>
        <w:rPr>
          <w:rFonts w:ascii="Times New Roman"/>
          <w:b w:val="false"/>
          <w:i w:val="false"/>
          <w:color w:val="000000"/>
          <w:sz w:val="28"/>
        </w:rPr>
        <w:t>
      9) доступ к рабочему месту ответственного лица и в помещение ограниченного доступа осуществляется в соответствии с должностными обязанностями ответственного лица, предусмотренными в его должностной инструкции, и на основании приказа о назначении ответственного лица.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2" w:id="72"/>
    <w:p>
      <w:pPr>
        <w:spacing w:after="0"/>
        <w:ind w:left="0"/>
        <w:jc w:val="both"/>
      </w:pPr>
      <w:r>
        <w:rPr>
          <w:rFonts w:ascii="Times New Roman"/>
          <w:b w:val="false"/>
          <w:i w:val="false"/>
          <w:color w:val="000000"/>
          <w:sz w:val="28"/>
        </w:rPr>
        <w:t xml:space="preserve">
      31. Рабочее место оператора поставщиков информации (за исключением субъектов естественной монополии, коллекторских агентств) и получателей кредитных отчетов размещается в помещении ограниченного доступа и соответствует требованиям, установленным </w:t>
      </w:r>
      <w:r>
        <w:rPr>
          <w:rFonts w:ascii="Times New Roman"/>
          <w:b w:val="false"/>
          <w:i w:val="false"/>
          <w:color w:val="000000"/>
          <w:sz w:val="28"/>
        </w:rPr>
        <w:t>пунктом 30</w:t>
      </w:r>
      <w:r>
        <w:rPr>
          <w:rFonts w:ascii="Times New Roman"/>
          <w:b w:val="false"/>
          <w:i w:val="false"/>
          <w:color w:val="000000"/>
          <w:sz w:val="28"/>
        </w:rPr>
        <w:t xml:space="preserve"> Требований.</w:t>
      </w:r>
    </w:p>
    <w:bookmarkEnd w:id="72"/>
    <w:p>
      <w:pPr>
        <w:spacing w:after="0"/>
        <w:ind w:left="0"/>
        <w:jc w:val="both"/>
      </w:pPr>
      <w:r>
        <w:rPr>
          <w:rFonts w:ascii="Times New Roman"/>
          <w:b w:val="false"/>
          <w:i w:val="false"/>
          <w:color w:val="000000"/>
          <w:sz w:val="28"/>
        </w:rPr>
        <w:t>
      Рабочее место ответственного лица субъектов естественной монополии, коллекторских агентств соответствует требованиям, предусмотренным подпунктами 1) и 5) пункта 30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73"/>
    <w:p>
      <w:pPr>
        <w:spacing w:after="0"/>
        <w:ind w:left="0"/>
        <w:jc w:val="both"/>
      </w:pPr>
      <w:r>
        <w:rPr>
          <w:rFonts w:ascii="Times New Roman"/>
          <w:b w:val="false"/>
          <w:i w:val="false"/>
          <w:color w:val="000000"/>
          <w:sz w:val="28"/>
        </w:rPr>
        <w:t>
      32. Использование кредитным бюро системных программных обеспечений (операционные системы, системы управления базами данных, офисные программы, антивирусные программы) подтверждается лицензиями, сертификатами.</w:t>
      </w:r>
    </w:p>
    <w:bookmarkEnd w:id="73"/>
    <w:bookmarkStart w:name="z64" w:id="74"/>
    <w:p>
      <w:pPr>
        <w:spacing w:after="0"/>
        <w:ind w:left="0"/>
        <w:jc w:val="both"/>
      </w:pPr>
      <w:r>
        <w:rPr>
          <w:rFonts w:ascii="Times New Roman"/>
          <w:b w:val="false"/>
          <w:i w:val="false"/>
          <w:color w:val="000000"/>
          <w:sz w:val="28"/>
        </w:rPr>
        <w:t>
      33. Для накопления и хранения данных по кредитным историям используется промышленная система управления базами данных, разработчик имеет официальное представительство и центр технической поддержки на территории Республики Казахстан.</w:t>
      </w:r>
    </w:p>
    <w:bookmarkEnd w:id="74"/>
    <w:bookmarkStart w:name="z65" w:id="75"/>
    <w:p>
      <w:pPr>
        <w:spacing w:after="0"/>
        <w:ind w:left="0"/>
        <w:jc w:val="both"/>
      </w:pPr>
      <w:r>
        <w:rPr>
          <w:rFonts w:ascii="Times New Roman"/>
          <w:b w:val="false"/>
          <w:i w:val="false"/>
          <w:color w:val="000000"/>
          <w:sz w:val="28"/>
        </w:rPr>
        <w:t>
      34. Внедрение и ввод в промышленную эксплуатацию (разработка или адаптация готового продукта) программного обеспечения кредитным бюро выполняется на основании технического задания, утвержденного его первым руководителем, при этом необходимо наличие соответствующих сертификатов на механизмы безопасности. Разработчики информационной системы кредитного бюро имеют опыт разработки аналогичных систем не менее 2 (двух) лет.</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Национального Банка РК от 30.05.2016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35. Программное обеспечение кредитного бюро предусматривает два и более способа получения (передачи) информации:</w:t>
      </w:r>
    </w:p>
    <w:bookmarkEnd w:id="76"/>
    <w:p>
      <w:pPr>
        <w:spacing w:after="0"/>
        <w:ind w:left="0"/>
        <w:jc w:val="both"/>
      </w:pPr>
      <w:r>
        <w:rPr>
          <w:rFonts w:ascii="Times New Roman"/>
          <w:b w:val="false"/>
          <w:i w:val="false"/>
          <w:color w:val="000000"/>
          <w:sz w:val="28"/>
        </w:rPr>
        <w:t>
      интерактивный интерфейс с подготовкой файла в стандартном формате с использованием программного обеспечения формирования отчетов в доступных форматах;</w:t>
      </w:r>
    </w:p>
    <w:p>
      <w:pPr>
        <w:spacing w:after="0"/>
        <w:ind w:left="0"/>
        <w:jc w:val="both"/>
      </w:pPr>
      <w:r>
        <w:rPr>
          <w:rFonts w:ascii="Times New Roman"/>
          <w:b w:val="false"/>
          <w:i w:val="false"/>
          <w:color w:val="000000"/>
          <w:sz w:val="28"/>
        </w:rPr>
        <w:t>
      сетевой доступ с использованием стандартного формата передачи в режиме реального времени, ввод данных с помощью функционала ручного ввода, заполнение экранных форм на интернет-ресурсе с использованием веб-браузера.</w:t>
      </w:r>
    </w:p>
    <w:bookmarkStart w:name="z67" w:id="77"/>
    <w:p>
      <w:pPr>
        <w:spacing w:after="0"/>
        <w:ind w:left="0"/>
        <w:jc w:val="both"/>
      </w:pPr>
      <w:r>
        <w:rPr>
          <w:rFonts w:ascii="Times New Roman"/>
          <w:b w:val="false"/>
          <w:i w:val="false"/>
          <w:color w:val="000000"/>
          <w:sz w:val="28"/>
        </w:rPr>
        <w:t>
      36. В целях информационной безопасности программное обеспечение кредитного бюро обеспечивает следующее:</w:t>
      </w:r>
    </w:p>
    <w:bookmarkEnd w:id="77"/>
    <w:p>
      <w:pPr>
        <w:spacing w:after="0"/>
        <w:ind w:left="0"/>
        <w:jc w:val="both"/>
      </w:pPr>
      <w:r>
        <w:rPr>
          <w:rFonts w:ascii="Times New Roman"/>
          <w:b w:val="false"/>
          <w:i w:val="false"/>
          <w:color w:val="000000"/>
          <w:sz w:val="28"/>
        </w:rPr>
        <w:t>
      1) идентификацию и аутентификацию с криптографическим преобразованием;</w:t>
      </w:r>
    </w:p>
    <w:p>
      <w:pPr>
        <w:spacing w:after="0"/>
        <w:ind w:left="0"/>
        <w:jc w:val="both"/>
      </w:pPr>
      <w:r>
        <w:rPr>
          <w:rFonts w:ascii="Times New Roman"/>
          <w:b w:val="false"/>
          <w:i w:val="false"/>
          <w:color w:val="000000"/>
          <w:sz w:val="28"/>
        </w:rPr>
        <w:t>
      2) разграничение прав пользователей;</w:t>
      </w:r>
    </w:p>
    <w:p>
      <w:pPr>
        <w:spacing w:after="0"/>
        <w:ind w:left="0"/>
        <w:jc w:val="both"/>
      </w:pPr>
      <w:r>
        <w:rPr>
          <w:rFonts w:ascii="Times New Roman"/>
          <w:b w:val="false"/>
          <w:i w:val="false"/>
          <w:color w:val="000000"/>
          <w:sz w:val="28"/>
        </w:rPr>
        <w:t>
      3) работу на уровне ядра программного обеспечения таким образом, чтобы ни одно значимое действие в рамках системы (действие пользователя или процесса) не происходило без участия механизма безопасности;</w:t>
      </w:r>
    </w:p>
    <w:p>
      <w:pPr>
        <w:spacing w:after="0"/>
        <w:ind w:left="0"/>
        <w:jc w:val="both"/>
      </w:pPr>
      <w:r>
        <w:rPr>
          <w:rFonts w:ascii="Times New Roman"/>
          <w:b w:val="false"/>
          <w:i w:val="false"/>
          <w:color w:val="000000"/>
          <w:sz w:val="28"/>
        </w:rPr>
        <w:t>
      4) схема безопасности, реализованная в программном обеспечении, отделена от средств безопасности самой операционной системы, на которой устанавливается программное обеспечение, тем самым уязвимость средств безопасности операционной системы не влияет на работу безопасности программного обеспечения;</w:t>
      </w:r>
    </w:p>
    <w:p>
      <w:pPr>
        <w:spacing w:after="0"/>
        <w:ind w:left="0"/>
        <w:jc w:val="both"/>
      </w:pPr>
      <w:r>
        <w:rPr>
          <w:rFonts w:ascii="Times New Roman"/>
          <w:b w:val="false"/>
          <w:i w:val="false"/>
          <w:color w:val="000000"/>
          <w:sz w:val="28"/>
        </w:rPr>
        <w:t>
      5) замкнутое сохранение данных в программном обеспечении организовано способом, обеспечивающим:</w:t>
      </w:r>
    </w:p>
    <w:p>
      <w:pPr>
        <w:spacing w:after="0"/>
        <w:ind w:left="0"/>
        <w:jc w:val="both"/>
      </w:pPr>
      <w:r>
        <w:rPr>
          <w:rFonts w:ascii="Times New Roman"/>
          <w:b w:val="false"/>
          <w:i w:val="false"/>
          <w:color w:val="000000"/>
          <w:sz w:val="28"/>
        </w:rPr>
        <w:t>
      невозможность получения логического доступа к указанным данным вне рамок работы приложения программного обеспечения;</w:t>
      </w:r>
    </w:p>
    <w:p>
      <w:pPr>
        <w:spacing w:after="0"/>
        <w:ind w:left="0"/>
        <w:jc w:val="both"/>
      </w:pPr>
      <w:r>
        <w:rPr>
          <w:rFonts w:ascii="Times New Roman"/>
          <w:b w:val="false"/>
          <w:i w:val="false"/>
          <w:color w:val="000000"/>
          <w:sz w:val="28"/>
        </w:rPr>
        <w:t>
      любые перемещения данных в (из) базу (базы) данных программного обеспечения под контролем механизмов безопасности;</w:t>
      </w:r>
    </w:p>
    <w:p>
      <w:pPr>
        <w:spacing w:after="0"/>
        <w:ind w:left="0"/>
        <w:jc w:val="both"/>
      </w:pPr>
      <w:r>
        <w:rPr>
          <w:rFonts w:ascii="Times New Roman"/>
          <w:b w:val="false"/>
          <w:i w:val="false"/>
          <w:color w:val="000000"/>
          <w:sz w:val="28"/>
        </w:rPr>
        <w:t>
      6) фиксирование информации, необходимой для идентификации факта, объекта и субъекта процесса удаления, изменение и возможность восстановления удаленных данных;</w:t>
      </w:r>
    </w:p>
    <w:p>
      <w:pPr>
        <w:spacing w:after="0"/>
        <w:ind w:left="0"/>
        <w:jc w:val="both"/>
      </w:pPr>
      <w:r>
        <w:rPr>
          <w:rFonts w:ascii="Times New Roman"/>
          <w:b w:val="false"/>
          <w:i w:val="false"/>
          <w:color w:val="000000"/>
          <w:sz w:val="28"/>
        </w:rPr>
        <w:t>
      7) возможность устойчивой работы при появлении сбоев;</w:t>
      </w:r>
    </w:p>
    <w:p>
      <w:pPr>
        <w:spacing w:after="0"/>
        <w:ind w:left="0"/>
        <w:jc w:val="both"/>
      </w:pPr>
      <w:r>
        <w:rPr>
          <w:rFonts w:ascii="Times New Roman"/>
          <w:b w:val="false"/>
          <w:i w:val="false"/>
          <w:color w:val="000000"/>
          <w:sz w:val="28"/>
        </w:rPr>
        <w:t>
      8) трехуровневую архитектуру "клиент-сервер" с тем, чтобы вывод из строя рабочего места пользователя или получение злоумышленником несанкционированного доступа к нему не сказывался на работе серверной части системы, а сбой сервера приложений не влиял на состояние данных системы;</w:t>
      </w:r>
    </w:p>
    <w:p>
      <w:pPr>
        <w:spacing w:after="0"/>
        <w:ind w:left="0"/>
        <w:jc w:val="both"/>
      </w:pPr>
      <w:r>
        <w:rPr>
          <w:rFonts w:ascii="Times New Roman"/>
          <w:b w:val="false"/>
          <w:i w:val="false"/>
          <w:color w:val="000000"/>
          <w:sz w:val="28"/>
        </w:rPr>
        <w:t>
      9) аудит системно-значимых событий с фиксированием в регистрационный журнал, а также с возможностью защиты со стороны любого субъекта;</w:t>
      </w:r>
    </w:p>
    <w:p>
      <w:pPr>
        <w:spacing w:after="0"/>
        <w:ind w:left="0"/>
        <w:jc w:val="both"/>
      </w:pPr>
      <w:r>
        <w:rPr>
          <w:rFonts w:ascii="Times New Roman"/>
          <w:b w:val="false"/>
          <w:i w:val="false"/>
          <w:color w:val="000000"/>
          <w:sz w:val="28"/>
        </w:rPr>
        <w:t>
      10) аудит действий пользователей и администраторов, как успешных, так и неудачных, начиная от попытки установления связи;</w:t>
      </w:r>
    </w:p>
    <w:p>
      <w:pPr>
        <w:spacing w:after="0"/>
        <w:ind w:left="0"/>
        <w:jc w:val="both"/>
      </w:pPr>
      <w:r>
        <w:rPr>
          <w:rFonts w:ascii="Times New Roman"/>
          <w:b w:val="false"/>
          <w:i w:val="false"/>
          <w:color w:val="000000"/>
          <w:sz w:val="28"/>
        </w:rPr>
        <w:t>
      11) контроль экспортируемых и импортируемых данных;</w:t>
      </w:r>
    </w:p>
    <w:p>
      <w:pPr>
        <w:spacing w:after="0"/>
        <w:ind w:left="0"/>
        <w:jc w:val="both"/>
      </w:pPr>
      <w:r>
        <w:rPr>
          <w:rFonts w:ascii="Times New Roman"/>
          <w:b w:val="false"/>
          <w:i w:val="false"/>
          <w:color w:val="000000"/>
          <w:sz w:val="28"/>
        </w:rPr>
        <w:t>
      12) возможность разработки (доработки) модулей и механизмов безопасности;</w:t>
      </w:r>
    </w:p>
    <w:p>
      <w:pPr>
        <w:spacing w:after="0"/>
        <w:ind w:left="0"/>
        <w:jc w:val="both"/>
      </w:pPr>
      <w:r>
        <w:rPr>
          <w:rFonts w:ascii="Times New Roman"/>
          <w:b w:val="false"/>
          <w:i w:val="false"/>
          <w:color w:val="000000"/>
          <w:sz w:val="28"/>
        </w:rPr>
        <w:t>
      13) в договоре с разработчиком информационной системы предусмотрена обязанность:</w:t>
      </w:r>
    </w:p>
    <w:p>
      <w:pPr>
        <w:spacing w:after="0"/>
        <w:ind w:left="0"/>
        <w:jc w:val="both"/>
      </w:pPr>
      <w:r>
        <w:rPr>
          <w:rFonts w:ascii="Times New Roman"/>
          <w:b w:val="false"/>
          <w:i w:val="false"/>
          <w:color w:val="000000"/>
          <w:sz w:val="28"/>
        </w:rPr>
        <w:t>
      регулярного информирования кредитного бюро об обнаруженных ошибках и уязвимостях системы, а также своевременного предоставления изменений и обновлений к системе;</w:t>
      </w:r>
    </w:p>
    <w:p>
      <w:pPr>
        <w:spacing w:after="0"/>
        <w:ind w:left="0"/>
        <w:jc w:val="both"/>
      </w:pPr>
      <w:r>
        <w:rPr>
          <w:rFonts w:ascii="Times New Roman"/>
          <w:b w:val="false"/>
          <w:i w:val="false"/>
          <w:color w:val="000000"/>
          <w:sz w:val="28"/>
        </w:rPr>
        <w:t>
      организовать службу оперативной поддержки, в том числе по вопросам безопасности, для дачи консультации работникам кредитного бюро и оказания им практической помощи в вопросах информационной безопасности.</w:t>
      </w:r>
    </w:p>
    <w:bookmarkStart w:name="z68" w:id="78"/>
    <w:p>
      <w:pPr>
        <w:spacing w:after="0"/>
        <w:ind w:left="0"/>
        <w:jc w:val="both"/>
      </w:pPr>
      <w:r>
        <w:rPr>
          <w:rFonts w:ascii="Times New Roman"/>
          <w:b w:val="false"/>
          <w:i w:val="false"/>
          <w:color w:val="000000"/>
          <w:sz w:val="28"/>
        </w:rPr>
        <w:t xml:space="preserve">
      37. Программное обеспечение кредитного бюро предусматривает хранение информации в отношении субъекта кредитной истории в течение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о кредитном бюро, а также возможность формирования в течение одного рабочего дня кредитных отчетов по состоянию на любой момент времени с начала формирования кредитных историй.</w:t>
      </w:r>
    </w:p>
    <w:bookmarkEnd w:id="78"/>
    <w:bookmarkStart w:name="z69" w:id="79"/>
    <w:p>
      <w:pPr>
        <w:spacing w:after="0"/>
        <w:ind w:left="0"/>
        <w:jc w:val="both"/>
      </w:pPr>
      <w:r>
        <w:rPr>
          <w:rFonts w:ascii="Times New Roman"/>
          <w:b w:val="false"/>
          <w:i w:val="false"/>
          <w:color w:val="000000"/>
          <w:sz w:val="28"/>
        </w:rPr>
        <w:t>
      38. Требования к техническим средствам кредитного бюро:</w:t>
      </w:r>
    </w:p>
    <w:bookmarkEnd w:id="79"/>
    <w:p>
      <w:pPr>
        <w:spacing w:after="0"/>
        <w:ind w:left="0"/>
        <w:jc w:val="both"/>
      </w:pPr>
      <w:r>
        <w:rPr>
          <w:rFonts w:ascii="Times New Roman"/>
          <w:b w:val="false"/>
          <w:i w:val="false"/>
          <w:color w:val="000000"/>
          <w:sz w:val="28"/>
        </w:rPr>
        <w:t>
      1) наличие собственного аппаратного обеспечения (компьютерное оборудование, серверы, аппаратные средства защиты, комплектующие и другое оборудование) и документов, подтверждающих принадлежность аппаратного обеспечения кредитному бюро;</w:t>
      </w:r>
    </w:p>
    <w:p>
      <w:pPr>
        <w:spacing w:after="0"/>
        <w:ind w:left="0"/>
        <w:jc w:val="both"/>
      </w:pPr>
      <w:r>
        <w:rPr>
          <w:rFonts w:ascii="Times New Roman"/>
          <w:b w:val="false"/>
          <w:i w:val="false"/>
          <w:color w:val="000000"/>
          <w:sz w:val="28"/>
        </w:rPr>
        <w:t>
      2) наличие сертификатов соответствия аппаратного обеспечения требованиям безопасности, выданных органом подтверждения соответствия;</w:t>
      </w:r>
    </w:p>
    <w:p>
      <w:pPr>
        <w:spacing w:after="0"/>
        <w:ind w:left="0"/>
        <w:jc w:val="both"/>
      </w:pPr>
      <w:r>
        <w:rPr>
          <w:rFonts w:ascii="Times New Roman"/>
          <w:b w:val="false"/>
          <w:i w:val="false"/>
          <w:color w:val="000000"/>
          <w:sz w:val="28"/>
        </w:rPr>
        <w:t>
      3) наличие системы гарантированного питания - щита автоматического включения резерва, дизельного генерирующего устройства, работающих от сигнала с двух источников бесперебойного питания (далее - ИБП), и непрерывно поддерживающей электричество в сети чистого питания во всей организации. При этом нагрузка каждого ИБП не более сорока процентов в штатном режиме.</w:t>
      </w:r>
    </w:p>
    <w:bookmarkStart w:name="z70" w:id="80"/>
    <w:p>
      <w:pPr>
        <w:spacing w:after="0"/>
        <w:ind w:left="0"/>
        <w:jc w:val="both"/>
      </w:pPr>
      <w:r>
        <w:rPr>
          <w:rFonts w:ascii="Times New Roman"/>
          <w:b w:val="false"/>
          <w:i w:val="false"/>
          <w:color w:val="000000"/>
          <w:sz w:val="28"/>
        </w:rPr>
        <w:t>
      39. Серверы кредитного бюро составляют отказоустойчивую завершенную систему и представляют собой кластер со стопроцентным дублированием аппаратной части. Резервные серверы базы данных кредитного бюро располагаются от основных серверов на расстоянии не менее десяти километров и обеспечивают бесперебойную работу базы данных кредитного бюро таким образом, чтобы в случае прекращения работы основных серверов базы данных, кредитное бюро могло обеспечить восстановление работы базы данных на резервных серверах в срок не более 6 (шести) часов с момента прекращения работы основного сервера.</w:t>
      </w:r>
    </w:p>
    <w:bookmarkEnd w:id="80"/>
    <w:bookmarkStart w:name="z71" w:id="81"/>
    <w:p>
      <w:pPr>
        <w:spacing w:after="0"/>
        <w:ind w:left="0"/>
        <w:jc w:val="both"/>
      </w:pPr>
      <w:r>
        <w:rPr>
          <w:rFonts w:ascii="Times New Roman"/>
          <w:b w:val="false"/>
          <w:i w:val="false"/>
          <w:color w:val="000000"/>
          <w:sz w:val="28"/>
        </w:rPr>
        <w:t>
      40. Организация (за исключением микрофинансовой организации, субъекта естественной монополии, кредитного товарищества, коллекторского агентства) соблюдает следующие требования по обеспечению безопасности информации:</w:t>
      </w:r>
    </w:p>
    <w:bookmarkEnd w:id="81"/>
    <w:bookmarkStart w:name="z188" w:id="82"/>
    <w:p>
      <w:pPr>
        <w:spacing w:after="0"/>
        <w:ind w:left="0"/>
        <w:jc w:val="both"/>
      </w:pPr>
      <w:r>
        <w:rPr>
          <w:rFonts w:ascii="Times New Roman"/>
          <w:b w:val="false"/>
          <w:i w:val="false"/>
          <w:color w:val="000000"/>
          <w:sz w:val="28"/>
        </w:rPr>
        <w:t>
      1) наличие защищенного канала передачи данных с шифрованием трафика с помощью аппаратных граничных маршрутизаторов;</w:t>
      </w:r>
    </w:p>
    <w:bookmarkEnd w:id="82"/>
    <w:bookmarkStart w:name="z189" w:id="83"/>
    <w:p>
      <w:pPr>
        <w:spacing w:after="0"/>
        <w:ind w:left="0"/>
        <w:jc w:val="both"/>
      </w:pPr>
      <w:r>
        <w:rPr>
          <w:rFonts w:ascii="Times New Roman"/>
          <w:b w:val="false"/>
          <w:i w:val="false"/>
          <w:color w:val="000000"/>
          <w:sz w:val="28"/>
        </w:rPr>
        <w:t>
      2) наличие системы обнаружения (предотвращения) атак из сети интернет в компьютерную сеть организации с помощью межсетевого экрана;</w:t>
      </w:r>
    </w:p>
    <w:bookmarkEnd w:id="83"/>
    <w:bookmarkStart w:name="z190" w:id="84"/>
    <w:p>
      <w:pPr>
        <w:spacing w:after="0"/>
        <w:ind w:left="0"/>
        <w:jc w:val="both"/>
      </w:pPr>
      <w:r>
        <w:rPr>
          <w:rFonts w:ascii="Times New Roman"/>
          <w:b w:val="false"/>
          <w:i w:val="false"/>
          <w:color w:val="000000"/>
          <w:sz w:val="28"/>
        </w:rPr>
        <w:t>
      3) наличие системы криптографической защиты компьютеров с помощью криптоключей и систем идентификации пользователя;</w:t>
      </w:r>
    </w:p>
    <w:bookmarkEnd w:id="84"/>
    <w:bookmarkStart w:name="z191" w:id="85"/>
    <w:p>
      <w:pPr>
        <w:spacing w:after="0"/>
        <w:ind w:left="0"/>
        <w:jc w:val="both"/>
      </w:pPr>
      <w:r>
        <w:rPr>
          <w:rFonts w:ascii="Times New Roman"/>
          <w:b w:val="false"/>
          <w:i w:val="false"/>
          <w:color w:val="000000"/>
          <w:sz w:val="28"/>
        </w:rPr>
        <w:t>
      4) наличие аппаратного сетевого анализатора трафика по идентификатору управления доступом к носителю сетевых карт пользователей;</w:t>
      </w:r>
    </w:p>
    <w:bookmarkEnd w:id="85"/>
    <w:bookmarkStart w:name="z192" w:id="86"/>
    <w:p>
      <w:pPr>
        <w:spacing w:after="0"/>
        <w:ind w:left="0"/>
        <w:jc w:val="both"/>
      </w:pPr>
      <w:r>
        <w:rPr>
          <w:rFonts w:ascii="Times New Roman"/>
          <w:b w:val="false"/>
          <w:i w:val="false"/>
          <w:color w:val="000000"/>
          <w:sz w:val="28"/>
        </w:rPr>
        <w:t>
      5) наличие системы резервного копирования на внешние и (или) съемные носители информации.</w:t>
      </w:r>
    </w:p>
    <w:bookmarkEnd w:id="86"/>
    <w:bookmarkStart w:name="z193" w:id="87"/>
    <w:p>
      <w:pPr>
        <w:spacing w:after="0"/>
        <w:ind w:left="0"/>
        <w:jc w:val="both"/>
      </w:pPr>
      <w:r>
        <w:rPr>
          <w:rFonts w:ascii="Times New Roman"/>
          <w:b w:val="false"/>
          <w:i w:val="false"/>
          <w:color w:val="000000"/>
          <w:sz w:val="28"/>
        </w:rPr>
        <w:t>
      Для реализации вышеуказанных требований кредитное бюро проводит анализ и оценку рисков, уязвимостей и угроз для обеспечения безопасности информации.</w:t>
      </w:r>
    </w:p>
    <w:bookmarkEnd w:id="87"/>
    <w:bookmarkStart w:name="z194" w:id="88"/>
    <w:p>
      <w:pPr>
        <w:spacing w:after="0"/>
        <w:ind w:left="0"/>
        <w:jc w:val="both"/>
      </w:pPr>
      <w:r>
        <w:rPr>
          <w:rFonts w:ascii="Times New Roman"/>
          <w:b w:val="false"/>
          <w:i w:val="false"/>
          <w:color w:val="000000"/>
          <w:sz w:val="28"/>
        </w:rPr>
        <w:t>
      На микрофинансовую организацию, кредитное товарищество распространяются требования по обеспечению безопасности информации, предусмотренные подпунктами 2) и 5) настоящего пункта.</w:t>
      </w:r>
    </w:p>
    <w:bookmarkEnd w:id="88"/>
    <w:bookmarkStart w:name="z195" w:id="89"/>
    <w:p>
      <w:pPr>
        <w:spacing w:after="0"/>
        <w:ind w:left="0"/>
        <w:jc w:val="both"/>
      </w:pPr>
      <w:r>
        <w:rPr>
          <w:rFonts w:ascii="Times New Roman"/>
          <w:b w:val="false"/>
          <w:i w:val="false"/>
          <w:color w:val="000000"/>
          <w:sz w:val="28"/>
        </w:rPr>
        <w:t>
      На субъекта естественной монополии, коллекторское агентство распространяется требование по обеспечению безопасности, предусмотренное подпунктом 5) настоящего пункта.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2" w:id="90"/>
    <w:p>
      <w:pPr>
        <w:spacing w:after="0"/>
        <w:ind w:left="0"/>
        <w:jc w:val="both"/>
      </w:pPr>
      <w:r>
        <w:rPr>
          <w:rFonts w:ascii="Times New Roman"/>
          <w:b w:val="false"/>
          <w:i w:val="false"/>
          <w:color w:val="000000"/>
          <w:sz w:val="28"/>
        </w:rPr>
        <w:t>
      41. Организация (за исключением микрофинансовой организации, субъекта естественной монополии, кредитного товарищества, коллекторского агентства) в процессе своей деятельности выполняет следующие требования:</w:t>
      </w:r>
    </w:p>
    <w:bookmarkEnd w:id="90"/>
    <w:bookmarkStart w:name="z197" w:id="91"/>
    <w:p>
      <w:pPr>
        <w:spacing w:after="0"/>
        <w:ind w:left="0"/>
        <w:jc w:val="both"/>
      </w:pPr>
      <w:r>
        <w:rPr>
          <w:rFonts w:ascii="Times New Roman"/>
          <w:b w:val="false"/>
          <w:i w:val="false"/>
          <w:color w:val="000000"/>
          <w:sz w:val="28"/>
        </w:rPr>
        <w:t>
      1) наличие службы информационной безопасности;</w:t>
      </w:r>
    </w:p>
    <w:bookmarkEnd w:id="91"/>
    <w:bookmarkStart w:name="z198" w:id="92"/>
    <w:p>
      <w:pPr>
        <w:spacing w:after="0"/>
        <w:ind w:left="0"/>
        <w:jc w:val="both"/>
      </w:pPr>
      <w:r>
        <w:rPr>
          <w:rFonts w:ascii="Times New Roman"/>
          <w:b w:val="false"/>
          <w:i w:val="false"/>
          <w:color w:val="000000"/>
          <w:sz w:val="28"/>
        </w:rPr>
        <w:t>
      2) наличие ответственных лиц по кредитным историям;</w:t>
      </w:r>
    </w:p>
    <w:bookmarkEnd w:id="92"/>
    <w:bookmarkStart w:name="z199" w:id="93"/>
    <w:p>
      <w:pPr>
        <w:spacing w:after="0"/>
        <w:ind w:left="0"/>
        <w:jc w:val="both"/>
      </w:pPr>
      <w:r>
        <w:rPr>
          <w:rFonts w:ascii="Times New Roman"/>
          <w:b w:val="false"/>
          <w:i w:val="false"/>
          <w:color w:val="000000"/>
          <w:sz w:val="28"/>
        </w:rPr>
        <w:t>
      3) наличие политики информационной безопасности;</w:t>
      </w:r>
    </w:p>
    <w:bookmarkEnd w:id="93"/>
    <w:bookmarkStart w:name="z200" w:id="94"/>
    <w:p>
      <w:pPr>
        <w:spacing w:after="0"/>
        <w:ind w:left="0"/>
        <w:jc w:val="both"/>
      </w:pPr>
      <w:r>
        <w:rPr>
          <w:rFonts w:ascii="Times New Roman"/>
          <w:b w:val="false"/>
          <w:i w:val="false"/>
          <w:color w:val="000000"/>
          <w:sz w:val="28"/>
        </w:rPr>
        <w:t>
      4) наличие политики формирования и использования паролей;</w:t>
      </w:r>
    </w:p>
    <w:bookmarkEnd w:id="94"/>
    <w:bookmarkStart w:name="z201" w:id="95"/>
    <w:p>
      <w:pPr>
        <w:spacing w:after="0"/>
        <w:ind w:left="0"/>
        <w:jc w:val="both"/>
      </w:pPr>
      <w:r>
        <w:rPr>
          <w:rFonts w:ascii="Times New Roman"/>
          <w:b w:val="false"/>
          <w:i w:val="false"/>
          <w:color w:val="000000"/>
          <w:sz w:val="28"/>
        </w:rPr>
        <w:t>
      5) наличие политики резервного копирования (архивирования);</w:t>
      </w:r>
    </w:p>
    <w:bookmarkEnd w:id="95"/>
    <w:bookmarkStart w:name="z202" w:id="96"/>
    <w:p>
      <w:pPr>
        <w:spacing w:after="0"/>
        <w:ind w:left="0"/>
        <w:jc w:val="both"/>
      </w:pPr>
      <w:r>
        <w:rPr>
          <w:rFonts w:ascii="Times New Roman"/>
          <w:b w:val="false"/>
          <w:i w:val="false"/>
          <w:color w:val="000000"/>
          <w:sz w:val="28"/>
        </w:rPr>
        <w:t>
      6) наличие документации с описанием процедур по ограничению доступа и обязанностей пользователей, администраторов безопасности, системных администраторов.</w:t>
      </w:r>
    </w:p>
    <w:bookmarkEnd w:id="96"/>
    <w:bookmarkStart w:name="z203" w:id="97"/>
    <w:p>
      <w:pPr>
        <w:spacing w:after="0"/>
        <w:ind w:left="0"/>
        <w:jc w:val="both"/>
      </w:pPr>
      <w:r>
        <w:rPr>
          <w:rFonts w:ascii="Times New Roman"/>
          <w:b w:val="false"/>
          <w:i w:val="false"/>
          <w:color w:val="000000"/>
          <w:sz w:val="28"/>
        </w:rPr>
        <w:t>
      Микрофинансовая организация, субъект естественной монополии, кредитное товарищество, коллекторское агентство в процессе своей деятельности выполняют требование, предусмотренное подпунктом 2) настоящего пункта.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3" w:id="98"/>
    <w:p>
      <w:pPr>
        <w:spacing w:after="0"/>
        <w:ind w:left="0"/>
        <w:jc w:val="both"/>
      </w:pPr>
      <w:r>
        <w:rPr>
          <w:rFonts w:ascii="Times New Roman"/>
          <w:b w:val="false"/>
          <w:i w:val="false"/>
          <w:color w:val="000000"/>
          <w:sz w:val="28"/>
        </w:rPr>
        <w:t>
      42. Организация (за исключением микрофинансовой организации, субъекта естественной монополии, кредитного товарищества, коллекторского агентства) утверждает внутренний документ, который определяет порядок работы с информационной системой и включает в себя:</w:t>
      </w:r>
    </w:p>
    <w:bookmarkEnd w:id="98"/>
    <w:bookmarkStart w:name="z205" w:id="99"/>
    <w:p>
      <w:pPr>
        <w:spacing w:after="0"/>
        <w:ind w:left="0"/>
        <w:jc w:val="both"/>
      </w:pPr>
      <w:r>
        <w:rPr>
          <w:rFonts w:ascii="Times New Roman"/>
          <w:b w:val="false"/>
          <w:i w:val="false"/>
          <w:color w:val="000000"/>
          <w:sz w:val="28"/>
        </w:rPr>
        <w:t>
      1) порядок назначения сотрудников, на которых возлагаются обязанности ответственных лиц;</w:t>
      </w:r>
    </w:p>
    <w:bookmarkEnd w:id="99"/>
    <w:bookmarkStart w:name="z206" w:id="100"/>
    <w:p>
      <w:pPr>
        <w:spacing w:after="0"/>
        <w:ind w:left="0"/>
        <w:jc w:val="both"/>
      </w:pPr>
      <w:r>
        <w:rPr>
          <w:rFonts w:ascii="Times New Roman"/>
          <w:b w:val="false"/>
          <w:i w:val="false"/>
          <w:color w:val="000000"/>
          <w:sz w:val="28"/>
        </w:rPr>
        <w:t>
      2) режим работы ответственных лиц с информационной системой;</w:t>
      </w:r>
    </w:p>
    <w:bookmarkEnd w:id="100"/>
    <w:bookmarkStart w:name="z207" w:id="101"/>
    <w:p>
      <w:pPr>
        <w:spacing w:after="0"/>
        <w:ind w:left="0"/>
        <w:jc w:val="both"/>
      </w:pPr>
      <w:r>
        <w:rPr>
          <w:rFonts w:ascii="Times New Roman"/>
          <w:b w:val="false"/>
          <w:i w:val="false"/>
          <w:color w:val="000000"/>
          <w:sz w:val="28"/>
        </w:rPr>
        <w:t>
      3) права и обязанности ответственных лиц;</w:t>
      </w:r>
    </w:p>
    <w:bookmarkEnd w:id="101"/>
    <w:bookmarkStart w:name="z208" w:id="102"/>
    <w:p>
      <w:pPr>
        <w:spacing w:after="0"/>
        <w:ind w:left="0"/>
        <w:jc w:val="both"/>
      </w:pPr>
      <w:r>
        <w:rPr>
          <w:rFonts w:ascii="Times New Roman"/>
          <w:b w:val="false"/>
          <w:i w:val="false"/>
          <w:color w:val="000000"/>
          <w:sz w:val="28"/>
        </w:rPr>
        <w:t>
      4) список сотрудников, допущенных к рабочему месту оператора;</w:t>
      </w:r>
    </w:p>
    <w:bookmarkEnd w:id="102"/>
    <w:bookmarkStart w:name="z209" w:id="103"/>
    <w:p>
      <w:pPr>
        <w:spacing w:after="0"/>
        <w:ind w:left="0"/>
        <w:jc w:val="both"/>
      </w:pPr>
      <w:r>
        <w:rPr>
          <w:rFonts w:ascii="Times New Roman"/>
          <w:b w:val="false"/>
          <w:i w:val="false"/>
          <w:color w:val="000000"/>
          <w:sz w:val="28"/>
        </w:rPr>
        <w:t>
      5) список сотрудников, допускаемых к рабочему месту оператора в особых случаях (в кризисных ситуациях, а также в случаях замещения сотрудника).</w:t>
      </w:r>
    </w:p>
    <w:bookmarkEnd w:id="103"/>
    <w:bookmarkStart w:name="z210" w:id="104"/>
    <w:p>
      <w:pPr>
        <w:spacing w:after="0"/>
        <w:ind w:left="0"/>
        <w:jc w:val="both"/>
      </w:pPr>
      <w:r>
        <w:rPr>
          <w:rFonts w:ascii="Times New Roman"/>
          <w:b w:val="false"/>
          <w:i w:val="false"/>
          <w:color w:val="000000"/>
          <w:sz w:val="28"/>
        </w:rPr>
        <w:t>
      На микрофинансовую организацию, субъекта естественной монополии, кредитное товарищество, коллекторское агентство распространяются требования, предусмотренные подпунктами 3), 4) и 5) настоящего пункта.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4" w:id="105"/>
    <w:p>
      <w:pPr>
        <w:spacing w:after="0"/>
        <w:ind w:left="0"/>
        <w:jc w:val="both"/>
      </w:pPr>
      <w:r>
        <w:rPr>
          <w:rFonts w:ascii="Times New Roman"/>
          <w:b w:val="false"/>
          <w:i w:val="false"/>
          <w:color w:val="000000"/>
          <w:sz w:val="28"/>
        </w:rPr>
        <w:t>
      43. Ответственные лица:</w:t>
      </w:r>
    </w:p>
    <w:bookmarkEnd w:id="105"/>
    <w:bookmarkStart w:name="z70" w:id="106"/>
    <w:p>
      <w:pPr>
        <w:spacing w:after="0"/>
        <w:ind w:left="0"/>
        <w:jc w:val="both"/>
      </w:pPr>
      <w:r>
        <w:rPr>
          <w:rFonts w:ascii="Times New Roman"/>
          <w:b w:val="false"/>
          <w:i w:val="false"/>
          <w:color w:val="000000"/>
          <w:sz w:val="28"/>
        </w:rPr>
        <w:t>
      1) обеспечивают обязательность процедуры идентификации и аутентификации для доступа к ресурсам информационных систем;</w:t>
      </w:r>
    </w:p>
    <w:bookmarkEnd w:id="106"/>
    <w:bookmarkStart w:name="z71" w:id="107"/>
    <w:p>
      <w:pPr>
        <w:spacing w:after="0"/>
        <w:ind w:left="0"/>
        <w:jc w:val="both"/>
      </w:pPr>
      <w:r>
        <w:rPr>
          <w:rFonts w:ascii="Times New Roman"/>
          <w:b w:val="false"/>
          <w:i w:val="false"/>
          <w:color w:val="000000"/>
          <w:sz w:val="28"/>
        </w:rPr>
        <w:t>
      2) не допускают получения права доступа к информационным ресурсам неавторизованными пользователями;</w:t>
      </w:r>
    </w:p>
    <w:bookmarkEnd w:id="107"/>
    <w:bookmarkStart w:name="z72" w:id="108"/>
    <w:p>
      <w:pPr>
        <w:spacing w:after="0"/>
        <w:ind w:left="0"/>
        <w:jc w:val="both"/>
      </w:pPr>
      <w:r>
        <w:rPr>
          <w:rFonts w:ascii="Times New Roman"/>
          <w:b w:val="false"/>
          <w:i w:val="false"/>
          <w:color w:val="000000"/>
          <w:sz w:val="28"/>
        </w:rPr>
        <w:t>
      3) контролируют регулярность выполнения резервного копирования информации, в том числе обрабатываемой информационной системой;</w:t>
      </w:r>
    </w:p>
    <w:bookmarkEnd w:id="108"/>
    <w:bookmarkStart w:name="z73" w:id="109"/>
    <w:p>
      <w:pPr>
        <w:spacing w:after="0"/>
        <w:ind w:left="0"/>
        <w:jc w:val="both"/>
      </w:pPr>
      <w:r>
        <w:rPr>
          <w:rFonts w:ascii="Times New Roman"/>
          <w:b w:val="false"/>
          <w:i w:val="false"/>
          <w:color w:val="000000"/>
          <w:sz w:val="28"/>
        </w:rPr>
        <w:t>
      4) проводят плановую и внеплановую проверку надежности защиты ресурсов системы;</w:t>
      </w:r>
    </w:p>
    <w:bookmarkEnd w:id="109"/>
    <w:bookmarkStart w:name="z74" w:id="110"/>
    <w:p>
      <w:pPr>
        <w:spacing w:after="0"/>
        <w:ind w:left="0"/>
        <w:jc w:val="both"/>
      </w:pPr>
      <w:r>
        <w:rPr>
          <w:rFonts w:ascii="Times New Roman"/>
          <w:b w:val="false"/>
          <w:i w:val="false"/>
          <w:color w:val="000000"/>
          <w:sz w:val="28"/>
        </w:rPr>
        <w:t>
      5) обеспечивают защиту оборудования корпоративной сети, в том числе специальных межсетевых программных средств;</w:t>
      </w:r>
    </w:p>
    <w:bookmarkEnd w:id="110"/>
    <w:bookmarkStart w:name="z75" w:id="111"/>
    <w:p>
      <w:pPr>
        <w:spacing w:after="0"/>
        <w:ind w:left="0"/>
        <w:jc w:val="both"/>
      </w:pPr>
      <w:r>
        <w:rPr>
          <w:rFonts w:ascii="Times New Roman"/>
          <w:b w:val="false"/>
          <w:i w:val="false"/>
          <w:color w:val="000000"/>
          <w:sz w:val="28"/>
        </w:rPr>
        <w:t>
      6) принимают меры по отражению угрозы и выявлению нарушителей;</w:t>
      </w:r>
    </w:p>
    <w:bookmarkEnd w:id="111"/>
    <w:bookmarkStart w:name="z76" w:id="112"/>
    <w:p>
      <w:pPr>
        <w:spacing w:after="0"/>
        <w:ind w:left="0"/>
        <w:jc w:val="both"/>
      </w:pPr>
      <w:r>
        <w:rPr>
          <w:rFonts w:ascii="Times New Roman"/>
          <w:b w:val="false"/>
          <w:i w:val="false"/>
          <w:color w:val="000000"/>
          <w:sz w:val="28"/>
        </w:rPr>
        <w:t>
      7) регулярно просматривают журнал событий, проводят анализ с записями, где были попытки несанкционированного доступа к информации.</w:t>
      </w:r>
    </w:p>
    <w:bookmarkEnd w:id="112"/>
    <w:bookmarkStart w:name="z211" w:id="113"/>
    <w:p>
      <w:pPr>
        <w:spacing w:after="0"/>
        <w:ind w:left="0"/>
        <w:jc w:val="both"/>
      </w:pPr>
      <w:r>
        <w:rPr>
          <w:rFonts w:ascii="Times New Roman"/>
          <w:b w:val="false"/>
          <w:i w:val="false"/>
          <w:color w:val="000000"/>
          <w:sz w:val="28"/>
        </w:rPr>
        <w:t>
      На субъектов естественной монополии, коллекторские агентства распространяются требования, предусмотренные подпунктами 1), 2) и 3) настоящего пункта.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Национального Банка РК от 30.05.2016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постановлением Правления Национального Банка РК от 14.06.2017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5" w:id="114"/>
    <w:p>
      <w:pPr>
        <w:spacing w:after="0"/>
        <w:ind w:left="0"/>
        <w:jc w:val="both"/>
      </w:pPr>
      <w:r>
        <w:rPr>
          <w:rFonts w:ascii="Times New Roman"/>
          <w:b w:val="false"/>
          <w:i w:val="false"/>
          <w:color w:val="000000"/>
          <w:sz w:val="28"/>
        </w:rPr>
        <w:t>
      44. Сотрудники организации (ответственное лицо, администратор, оператор) дают письменные обязательства о неразглашении и нераспространении информации, ставшей им известной в процессе исполнения ими служебных обязанностей.</w:t>
      </w:r>
    </w:p>
    <w:bookmarkEnd w:id="114"/>
    <w:bookmarkStart w:name="z76" w:id="115"/>
    <w:p>
      <w:pPr>
        <w:spacing w:after="0"/>
        <w:ind w:left="0"/>
        <w:jc w:val="both"/>
      </w:pPr>
      <w:r>
        <w:rPr>
          <w:rFonts w:ascii="Times New Roman"/>
          <w:b w:val="false"/>
          <w:i w:val="false"/>
          <w:color w:val="000000"/>
          <w:sz w:val="28"/>
        </w:rPr>
        <w:t>
      45. При увольнении ответственного лица производится внеплановая смена ключевой информации организации, о чем уведомляется кредитное бюро. Новая ключевая информация вводится в действие со дня его увольнения.</w:t>
      </w:r>
    </w:p>
    <w:bookmarkEnd w:id="115"/>
    <w:bookmarkStart w:name="z77" w:id="116"/>
    <w:p>
      <w:pPr>
        <w:spacing w:after="0"/>
        <w:ind w:left="0"/>
        <w:jc w:val="both"/>
      </w:pPr>
      <w:r>
        <w:rPr>
          <w:rFonts w:ascii="Times New Roman"/>
          <w:b w:val="false"/>
          <w:i w:val="false"/>
          <w:color w:val="000000"/>
          <w:sz w:val="28"/>
        </w:rPr>
        <w:t>
      46. Порядок хранения и использования внешних носителей с ключевой информацией в организации исключает возможность несанкционированного доступа к ним.</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использованию</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 обеспечению информационной</w:t>
            </w:r>
            <w:r>
              <w:br/>
            </w:r>
            <w:r>
              <w:rPr>
                <w:rFonts w:ascii="Times New Roman"/>
                <w:b w:val="false"/>
                <w:i w:val="false"/>
                <w:color w:val="000000"/>
                <w:sz w:val="20"/>
              </w:rPr>
              <w:t>безопасности при организации деятельности</w:t>
            </w:r>
            <w:r>
              <w:br/>
            </w:r>
            <w:r>
              <w:rPr>
                <w:rFonts w:ascii="Times New Roman"/>
                <w:b w:val="false"/>
                <w:i w:val="false"/>
                <w:color w:val="000000"/>
                <w:sz w:val="20"/>
              </w:rPr>
              <w:t>кредитных бюро, поставщиков информации</w:t>
            </w:r>
            <w:r>
              <w:br/>
            </w:r>
            <w:r>
              <w:rPr>
                <w:rFonts w:ascii="Times New Roman"/>
                <w:b w:val="false"/>
                <w:i w:val="false"/>
                <w:color w:val="000000"/>
                <w:sz w:val="20"/>
              </w:rPr>
              <w:t>и получателей кредитных отчетов</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30.05.2016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внесены изменения на государственном языке, текст на русском языке не меняется в соответствии с постановлением Правления Национального Банка РК от 14.06.2017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117"/>
    <w:p>
      <w:pPr>
        <w:spacing w:after="0"/>
        <w:ind w:left="0"/>
        <w:jc w:val="left"/>
      </w:pPr>
      <w:r>
        <w:rPr>
          <w:rFonts w:ascii="Times New Roman"/>
          <w:b/>
          <w:i w:val="false"/>
          <w:color w:val="000000"/>
        </w:rPr>
        <w:t xml:space="preserve"> Акт</w:t>
      </w:r>
    </w:p>
    <w:bookmarkEnd w:id="117"/>
    <w:p>
      <w:pPr>
        <w:spacing w:after="0"/>
        <w:ind w:left="0"/>
        <w:jc w:val="both"/>
      </w:pPr>
      <w:r>
        <w:rPr>
          <w:rFonts w:ascii="Times New Roman"/>
          <w:b w:val="false"/>
          <w:i w:val="false"/>
          <w:color w:val="000000"/>
          <w:sz w:val="28"/>
        </w:rPr>
        <w:t>
      о соответствии ________________________</w:t>
      </w:r>
    </w:p>
    <w:p>
      <w:pPr>
        <w:spacing w:after="0"/>
        <w:ind w:left="0"/>
        <w:jc w:val="both"/>
      </w:pPr>
      <w:r>
        <w:rPr>
          <w:rFonts w:ascii="Times New Roman"/>
          <w:b w:val="false"/>
          <w:i w:val="false"/>
          <w:color w:val="000000"/>
          <w:sz w:val="28"/>
        </w:rPr>
        <w:t>
      (наименование участника)</w:t>
      </w:r>
    </w:p>
    <w:p>
      <w:pPr>
        <w:spacing w:after="0"/>
        <w:ind w:left="0"/>
        <w:jc w:val="both"/>
      </w:pPr>
      <w:r>
        <w:rPr>
          <w:rFonts w:ascii="Times New Roman"/>
          <w:b w:val="false"/>
          <w:i w:val="false"/>
          <w:color w:val="000000"/>
          <w:sz w:val="28"/>
        </w:rPr>
        <w:t>
      требованиям, предъявляемым к участникам системы формирования кредитных историй и их использования (за исключением субъекта кредитной истории)</w:t>
      </w:r>
    </w:p>
    <w:tbl>
      <w:tblPr>
        <w:tblW w:w="0" w:type="auto"/>
        <w:tblCellSpacing w:w="0" w:type="auto"/>
        <w:tblBorders>
          <w:top w:val="none"/>
          <w:left w:val="none"/>
          <w:bottom w:val="none"/>
          <w:right w:val="none"/>
          <w:insideH w:val="none"/>
          <w:insideV w:val="none"/>
        </w:tblBorders>
      </w:tblPr>
      <w:tblGrid>
        <w:gridCol w:w="6409"/>
        <w:gridCol w:w="5891"/>
      </w:tblGrid>
      <w:tr>
        <w:trPr>
          <w:trHeight w:val="30" w:hRule="atLeast"/>
        </w:trPr>
        <w:tc>
          <w:tcPr>
            <w:tcW w:w="6409" w:type="dxa"/>
            <w:tcBorders/>
            <w:tcMar>
              <w:top w:w="15" w:type="dxa"/>
              <w:left w:w="15" w:type="dxa"/>
              <w:bottom w:w="15" w:type="dxa"/>
              <w:right w:w="15" w:type="dxa"/>
            </w:tcMar>
            <w:vAlign w:val="center"/>
          </w:tcPr>
          <w:bookmarkStart w:name="z107" w:id="118"/>
          <w:p>
            <w:pPr>
              <w:spacing w:after="20"/>
              <w:ind w:left="20"/>
              <w:jc w:val="both"/>
            </w:pPr>
            <w:r>
              <w:rPr>
                <w:rFonts w:ascii="Times New Roman"/>
                <w:b w:val="false"/>
                <w:i w:val="false"/>
                <w:color w:val="000000"/>
                <w:sz w:val="20"/>
              </w:rPr>
              <w:t>
________________________</w:t>
            </w:r>
          </w:p>
          <w:bookmarkEnd w:id="118"/>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409" w:type="dxa"/>
            <w:tcBorders/>
            <w:tcMar>
              <w:top w:w="15" w:type="dxa"/>
              <w:left w:w="15" w:type="dxa"/>
              <w:bottom w:w="15" w:type="dxa"/>
              <w:right w:w="15" w:type="dxa"/>
            </w:tcMar>
            <w:vAlign w:val="center"/>
          </w:tcPr>
          <w:bookmarkStart w:name="z108" w:id="119"/>
          <w:p>
            <w:pPr>
              <w:spacing w:after="20"/>
              <w:ind w:left="20"/>
              <w:jc w:val="both"/>
            </w:pPr>
            <w:r>
              <w:rPr>
                <w:rFonts w:ascii="Times New Roman"/>
                <w:b w:val="false"/>
                <w:i w:val="false"/>
                <w:color w:val="000000"/>
                <w:sz w:val="20"/>
              </w:rPr>
              <w:t>
      место составления</w:t>
            </w:r>
          </w:p>
          <w:bookmarkEnd w:id="119"/>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both"/>
      </w:pPr>
      <w:r>
        <w:rPr>
          <w:rFonts w:ascii="Times New Roman"/>
          <w:b w:val="false"/>
          <w:i w:val="false"/>
          <w:color w:val="000000"/>
          <w:sz w:val="28"/>
        </w:rPr>
        <w:t>
      Настоящий акт о соответствии участника системы формирования кредитных историй и их использования (за исключением субъекта кредитной истории) требованиям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 составлен комиссией в следующем составе:</w:t>
      </w:r>
    </w:p>
    <w:bookmarkStart w:name="z112" w:id="120"/>
    <w:p>
      <w:pPr>
        <w:spacing w:after="0"/>
        <w:ind w:left="0"/>
        <w:jc w:val="both"/>
      </w:pPr>
      <w:r>
        <w:rPr>
          <w:rFonts w:ascii="Times New Roman"/>
          <w:b w:val="false"/>
          <w:i w:val="false"/>
          <w:color w:val="000000"/>
          <w:sz w:val="28"/>
        </w:rPr>
        <w:t>
      представители уполномоченного органа, осуществляющего регулирование, контроль и надзор финансового рынка и финансовых организаций:</w:t>
      </w:r>
    </w:p>
    <w:bookmarkEnd w:id="120"/>
    <w:bookmarkStart w:name="z113" w:id="12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21"/>
    <w:bookmarkStart w:name="z114" w:id="122"/>
    <w:p>
      <w:pPr>
        <w:spacing w:after="0"/>
        <w:ind w:left="0"/>
        <w:jc w:val="both"/>
      </w:pPr>
      <w:r>
        <w:rPr>
          <w:rFonts w:ascii="Times New Roman"/>
          <w:b w:val="false"/>
          <w:i w:val="false"/>
          <w:color w:val="000000"/>
          <w:sz w:val="28"/>
        </w:rPr>
        <w:t>
      В работе комиссии участвуют представители участника системы формирования кредитных историй и их использования:</w:t>
      </w:r>
    </w:p>
    <w:bookmarkEnd w:id="122"/>
    <w:bookmarkStart w:name="z115" w:id="12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23"/>
    <w:bookmarkStart w:name="z116" w:id="124"/>
    <w:p>
      <w:pPr>
        <w:spacing w:after="0"/>
        <w:ind w:left="0"/>
        <w:jc w:val="both"/>
      </w:pPr>
      <w:r>
        <w:rPr>
          <w:rFonts w:ascii="Times New Roman"/>
          <w:b w:val="false"/>
          <w:i w:val="false"/>
          <w:color w:val="000000"/>
          <w:sz w:val="28"/>
        </w:rPr>
        <w:t>
      Подробное описание обследованных объектов и изученных комиссией документов:</w:t>
      </w:r>
    </w:p>
    <w:bookmarkEnd w:id="124"/>
    <w:bookmarkStart w:name="z117" w:id="12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25"/>
    <w:bookmarkStart w:name="z118" w:id="126"/>
    <w:p>
      <w:pPr>
        <w:spacing w:after="0"/>
        <w:ind w:left="0"/>
        <w:jc w:val="both"/>
      </w:pPr>
      <w:r>
        <w:rPr>
          <w:rFonts w:ascii="Times New Roman"/>
          <w:b w:val="false"/>
          <w:i w:val="false"/>
          <w:color w:val="000000"/>
          <w:sz w:val="28"/>
        </w:rPr>
        <w:t>
      Краткое содержание пояснений представителей участника системы формирования кредитных историй и их использования:</w:t>
      </w:r>
    </w:p>
    <w:bookmarkEnd w:id="126"/>
    <w:bookmarkStart w:name="z119" w:id="12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27"/>
    <w:p>
      <w:pPr>
        <w:spacing w:after="0"/>
        <w:ind w:left="0"/>
        <w:jc w:val="both"/>
      </w:pPr>
      <w:r>
        <w:rPr>
          <w:rFonts w:ascii="Times New Roman"/>
          <w:b w:val="false"/>
          <w:i w:val="false"/>
          <w:color w:val="000000"/>
          <w:sz w:val="28"/>
        </w:rPr>
        <w:t>
      Проверкой комиссией технических и иных документов участника системы формирования кредитных историй и их использования __________________________, обследованием его технических помещений, электронно-компьютерного оборудования, систем связи и защитных устройств и иных объектов, предназначенных для работы в системе формирования кредитных историй и их использования, установлено</w:t>
      </w:r>
    </w:p>
    <w:bookmarkStart w:name="z123" w:id="12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128"/>
    <w:bookmarkStart w:name="z124" w:id="12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129"/>
    <w:bookmarkStart w:name="z125" w:id="130"/>
    <w:p>
      <w:pPr>
        <w:spacing w:after="0"/>
        <w:ind w:left="0"/>
        <w:jc w:val="both"/>
      </w:pPr>
      <w:r>
        <w:rPr>
          <w:rFonts w:ascii="Times New Roman"/>
          <w:b w:val="false"/>
          <w:i w:val="false"/>
          <w:color w:val="000000"/>
          <w:sz w:val="28"/>
        </w:rPr>
        <w:t>
       (соответствие (несоответствие) предъявляемым требованиям и достаточность недостаточность) для начала (продолжения) деятельности организации на рынке информационных услуг).</w:t>
      </w:r>
    </w:p>
    <w:bookmarkEnd w:id="130"/>
    <w:bookmarkStart w:name="z126" w:id="131"/>
    <w:p>
      <w:pPr>
        <w:spacing w:after="0"/>
        <w:ind w:left="0"/>
        <w:jc w:val="both"/>
      </w:pPr>
      <w:r>
        <w:rPr>
          <w:rFonts w:ascii="Times New Roman"/>
          <w:b w:val="false"/>
          <w:i w:val="false"/>
          <w:color w:val="000000"/>
          <w:sz w:val="28"/>
        </w:rPr>
        <w:t>
      Участником системы формирования кредитных историй и их использования предъявлена следующая техническая документация и иные документы, которые приложены к акту комиссии:</w:t>
      </w:r>
    </w:p>
    <w:bookmarkEnd w:id="131"/>
    <w:bookmarkStart w:name="z127" w:id="13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32"/>
    <w:bookmarkStart w:name="z128" w:id="133"/>
    <w:p>
      <w:pPr>
        <w:spacing w:after="0"/>
        <w:ind w:left="0"/>
        <w:jc w:val="both"/>
      </w:pPr>
      <w:r>
        <w:rPr>
          <w:rFonts w:ascii="Times New Roman"/>
          <w:b w:val="false"/>
          <w:i w:val="false"/>
          <w:color w:val="000000"/>
          <w:sz w:val="28"/>
        </w:rPr>
        <w:t>
      Члены комиссии:</w:t>
      </w:r>
    </w:p>
    <w:bookmarkEnd w:id="133"/>
    <w:bookmarkStart w:name="z129" w:id="134"/>
    <w:p>
      <w:pPr>
        <w:spacing w:after="0"/>
        <w:ind w:left="0"/>
        <w:jc w:val="both"/>
      </w:pPr>
      <w:r>
        <w:rPr>
          <w:rFonts w:ascii="Times New Roman"/>
          <w:b w:val="false"/>
          <w:i w:val="false"/>
          <w:color w:val="000000"/>
          <w:sz w:val="28"/>
        </w:rPr>
        <w:t>
      ____________       _______________________________________ __________________________</w:t>
      </w:r>
    </w:p>
    <w:bookmarkEnd w:id="134"/>
    <w:bookmarkStart w:name="z130" w:id="135"/>
    <w:p>
      <w:pPr>
        <w:spacing w:after="0"/>
        <w:ind w:left="0"/>
        <w:jc w:val="both"/>
      </w:pPr>
      <w:r>
        <w:rPr>
          <w:rFonts w:ascii="Times New Roman"/>
          <w:b w:val="false"/>
          <w:i w:val="false"/>
          <w:color w:val="000000"/>
          <w:sz w:val="28"/>
        </w:rPr>
        <w:t>
       (должность)            (фамилия, имя, отчество (при его наличии)) согласовано (не согласовано)</w:t>
      </w:r>
    </w:p>
    <w:bookmarkEnd w:id="135"/>
    <w:bookmarkStart w:name="z131" w:id="136"/>
    <w:p>
      <w:pPr>
        <w:spacing w:after="0"/>
        <w:ind w:left="0"/>
        <w:jc w:val="both"/>
      </w:pPr>
      <w:r>
        <w:rPr>
          <w:rFonts w:ascii="Times New Roman"/>
          <w:b w:val="false"/>
          <w:i w:val="false"/>
          <w:color w:val="000000"/>
          <w:sz w:val="28"/>
        </w:rPr>
        <w:t>
      ____________       _______________________________________ __________________________</w:t>
      </w:r>
    </w:p>
    <w:bookmarkEnd w:id="136"/>
    <w:bookmarkStart w:name="z132" w:id="137"/>
    <w:p>
      <w:pPr>
        <w:spacing w:after="0"/>
        <w:ind w:left="0"/>
        <w:jc w:val="both"/>
      </w:pPr>
      <w:r>
        <w:rPr>
          <w:rFonts w:ascii="Times New Roman"/>
          <w:b w:val="false"/>
          <w:i w:val="false"/>
          <w:color w:val="000000"/>
          <w:sz w:val="28"/>
        </w:rPr>
        <w:t>
       (должность)            (фамилия, имя, отчество (при его наличии)) согласовано (не согласовано)</w:t>
      </w:r>
    </w:p>
    <w:bookmarkEnd w:id="137"/>
    <w:bookmarkStart w:name="z133" w:id="138"/>
    <w:p>
      <w:pPr>
        <w:spacing w:after="0"/>
        <w:ind w:left="0"/>
        <w:jc w:val="both"/>
      </w:pPr>
      <w:r>
        <w:rPr>
          <w:rFonts w:ascii="Times New Roman"/>
          <w:b w:val="false"/>
          <w:i w:val="false"/>
          <w:color w:val="000000"/>
          <w:sz w:val="28"/>
        </w:rPr>
        <w:t>
      ____________       _______________________________________ __________________________</w:t>
      </w:r>
    </w:p>
    <w:bookmarkEnd w:id="138"/>
    <w:bookmarkStart w:name="z134" w:id="139"/>
    <w:p>
      <w:pPr>
        <w:spacing w:after="0"/>
        <w:ind w:left="0"/>
        <w:jc w:val="both"/>
      </w:pPr>
      <w:r>
        <w:rPr>
          <w:rFonts w:ascii="Times New Roman"/>
          <w:b w:val="false"/>
          <w:i w:val="false"/>
          <w:color w:val="000000"/>
          <w:sz w:val="28"/>
        </w:rPr>
        <w:t>
      (должность)            (фамилия, имя, отчество (при его наличии)) согласовано (не согласовано)</w:t>
      </w:r>
    </w:p>
    <w:bookmarkEnd w:id="139"/>
    <w:bookmarkStart w:name="z135" w:id="140"/>
    <w:p>
      <w:pPr>
        <w:spacing w:after="0"/>
        <w:ind w:left="0"/>
        <w:jc w:val="both"/>
      </w:pPr>
      <w:r>
        <w:rPr>
          <w:rFonts w:ascii="Times New Roman"/>
          <w:b w:val="false"/>
          <w:i w:val="false"/>
          <w:color w:val="000000"/>
          <w:sz w:val="28"/>
        </w:rPr>
        <w:t>
      Руководитель комиссии:</w:t>
      </w:r>
    </w:p>
    <w:bookmarkEnd w:id="140"/>
    <w:bookmarkStart w:name="z136" w:id="141"/>
    <w:p>
      <w:pPr>
        <w:spacing w:after="0"/>
        <w:ind w:left="0"/>
        <w:jc w:val="both"/>
      </w:pPr>
      <w:r>
        <w:rPr>
          <w:rFonts w:ascii="Times New Roman"/>
          <w:b w:val="false"/>
          <w:i w:val="false"/>
          <w:color w:val="000000"/>
          <w:sz w:val="28"/>
        </w:rPr>
        <w:t>
      ______________________________________________________________________________</w:t>
      </w:r>
    </w:p>
    <w:bookmarkEnd w:id="141"/>
    <w:bookmarkStart w:name="z137" w:id="142"/>
    <w:p>
      <w:pPr>
        <w:spacing w:after="0"/>
        <w:ind w:left="0"/>
        <w:jc w:val="both"/>
      </w:pPr>
      <w:r>
        <w:rPr>
          <w:rFonts w:ascii="Times New Roman"/>
          <w:b w:val="false"/>
          <w:i w:val="false"/>
          <w:color w:val="000000"/>
          <w:sz w:val="28"/>
        </w:rPr>
        <w:t>
      (электронная цифровая подпись)</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использованию</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 обеспечению информационной</w:t>
            </w:r>
            <w:r>
              <w:br/>
            </w:r>
            <w:r>
              <w:rPr>
                <w:rFonts w:ascii="Times New Roman"/>
                <w:b w:val="false"/>
                <w:i w:val="false"/>
                <w:color w:val="000000"/>
                <w:sz w:val="20"/>
              </w:rPr>
              <w:t>безопасности при организации деятельности</w:t>
            </w:r>
            <w:r>
              <w:br/>
            </w:r>
            <w:r>
              <w:rPr>
                <w:rFonts w:ascii="Times New Roman"/>
                <w:b w:val="false"/>
                <w:i w:val="false"/>
                <w:color w:val="000000"/>
                <w:sz w:val="20"/>
              </w:rPr>
              <w:t>кредитных бюро, поставщиков информации</w:t>
            </w:r>
            <w:r>
              <w:br/>
            </w:r>
            <w:r>
              <w:rPr>
                <w:rFonts w:ascii="Times New Roman"/>
                <w:b w:val="false"/>
                <w:i w:val="false"/>
                <w:color w:val="000000"/>
                <w:sz w:val="20"/>
              </w:rPr>
              <w:t>и получателей кредитных отчетов</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14.06.2017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43"/>
    <w:p>
      <w:pPr>
        <w:spacing w:after="0"/>
        <w:ind w:left="0"/>
        <w:jc w:val="both"/>
      </w:pPr>
      <w:r>
        <w:rPr>
          <w:rFonts w:ascii="Times New Roman"/>
          <w:b w:val="false"/>
          <w:i w:val="false"/>
          <w:color w:val="000000"/>
          <w:sz w:val="28"/>
        </w:rPr>
        <w:t>
                                     Заключение</w:t>
      </w:r>
    </w:p>
    <w:bookmarkEnd w:id="143"/>
    <w:bookmarkStart w:name="z214" w:id="144"/>
    <w:p>
      <w:pPr>
        <w:spacing w:after="0"/>
        <w:ind w:left="0"/>
        <w:jc w:val="both"/>
      </w:pPr>
      <w:r>
        <w:rPr>
          <w:rFonts w:ascii="Times New Roman"/>
          <w:b w:val="false"/>
          <w:i w:val="false"/>
          <w:color w:val="000000"/>
          <w:sz w:val="28"/>
        </w:rPr>
        <w:t>
             о соответствии 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микрофинансовой организации, субъекта естественной монополии,</w:t>
      </w:r>
      <w:r>
        <w:br/>
      </w:r>
      <w:r>
        <w:rPr>
          <w:rFonts w:ascii="Times New Roman"/>
          <w:b w:val="false"/>
          <w:i w:val="false"/>
          <w:color w:val="000000"/>
          <w:sz w:val="28"/>
        </w:rPr>
        <w:t xml:space="preserve">             кредитного товарищества или коллекторского агентства) требованиям,</w:t>
      </w:r>
      <w:r>
        <w:br/>
      </w:r>
      <w:r>
        <w:rPr>
          <w:rFonts w:ascii="Times New Roman"/>
          <w:b w:val="false"/>
          <w:i w:val="false"/>
          <w:color w:val="000000"/>
          <w:sz w:val="28"/>
        </w:rPr>
        <w:t xml:space="preserve">       предъявляемым к микрофинансовым организациям, субъектам естественной</w:t>
      </w:r>
      <w:r>
        <w:br/>
      </w:r>
      <w:r>
        <w:rPr>
          <w:rFonts w:ascii="Times New Roman"/>
          <w:b w:val="false"/>
          <w:i w:val="false"/>
          <w:color w:val="000000"/>
          <w:sz w:val="28"/>
        </w:rPr>
        <w:t xml:space="preserve">             монополии, кредитным товариществам или коллекторским агентствам</w:t>
      </w:r>
      <w:r>
        <w:br/>
      </w:r>
      <w:r>
        <w:rPr>
          <w:rFonts w:ascii="Times New Roman"/>
          <w:b w:val="false"/>
          <w:i w:val="false"/>
          <w:color w:val="000000"/>
          <w:sz w:val="28"/>
        </w:rPr>
        <w:t>______________________                              ______________________</w:t>
      </w:r>
      <w:r>
        <w:br/>
      </w:r>
      <w:r>
        <w:rPr>
          <w:rFonts w:ascii="Times New Roman"/>
          <w:b w:val="false"/>
          <w:i w:val="false"/>
          <w:color w:val="000000"/>
          <w:sz w:val="28"/>
        </w:rPr>
        <w:t>место составления                                                дата</w:t>
      </w:r>
    </w:p>
    <w:bookmarkEnd w:id="144"/>
    <w:bookmarkStart w:name="z215" w:id="145"/>
    <w:p>
      <w:pPr>
        <w:spacing w:after="0"/>
        <w:ind w:left="0"/>
        <w:jc w:val="both"/>
      </w:pPr>
      <w:r>
        <w:rPr>
          <w:rFonts w:ascii="Times New Roman"/>
          <w:b w:val="false"/>
          <w:i w:val="false"/>
          <w:color w:val="000000"/>
          <w:sz w:val="28"/>
        </w:rPr>
        <w:t>
             Заключение о готовности микрофинансовой организации, субъекта естественной</w:t>
      </w:r>
      <w:r>
        <w:br/>
      </w:r>
      <w:r>
        <w:rPr>
          <w:rFonts w:ascii="Times New Roman"/>
          <w:b w:val="false"/>
          <w:i w:val="false"/>
          <w:color w:val="000000"/>
          <w:sz w:val="28"/>
        </w:rPr>
        <w:t>монополии, кредитного товарищества или коллекторского агентства к началу своей</w:t>
      </w:r>
      <w:r>
        <w:br/>
      </w:r>
      <w:r>
        <w:rPr>
          <w:rFonts w:ascii="Times New Roman"/>
          <w:b w:val="false"/>
          <w:i w:val="false"/>
          <w:color w:val="000000"/>
          <w:sz w:val="28"/>
        </w:rPr>
        <w:t>деятельности на рынке информационных услуг и выполнению ею (им) требований к</w:t>
      </w:r>
      <w:r>
        <w:br/>
      </w:r>
      <w:r>
        <w:rPr>
          <w:rFonts w:ascii="Times New Roman"/>
          <w:b w:val="false"/>
          <w:i w:val="false"/>
          <w:color w:val="000000"/>
          <w:sz w:val="28"/>
        </w:rPr>
        <w:t>использованию информационно-коммуникационных технологий и обеспечению</w:t>
      </w:r>
      <w:r>
        <w:br/>
      </w:r>
      <w:r>
        <w:rPr>
          <w:rFonts w:ascii="Times New Roman"/>
          <w:b w:val="false"/>
          <w:i w:val="false"/>
          <w:color w:val="000000"/>
          <w:sz w:val="28"/>
        </w:rPr>
        <w:t>информационной безопасности при организации деятельности кредитных бюро,</w:t>
      </w:r>
      <w:r>
        <w:br/>
      </w:r>
      <w:r>
        <w:rPr>
          <w:rFonts w:ascii="Times New Roman"/>
          <w:b w:val="false"/>
          <w:i w:val="false"/>
          <w:color w:val="000000"/>
          <w:sz w:val="28"/>
        </w:rPr>
        <w:t>поставщиков информации и получателей кредитных отчетов составлено представителями</w:t>
      </w:r>
      <w:r>
        <w:br/>
      </w:r>
      <w:r>
        <w:rPr>
          <w:rFonts w:ascii="Times New Roman"/>
          <w:b w:val="false"/>
          <w:i w:val="false"/>
          <w:color w:val="000000"/>
          <w:sz w:val="28"/>
        </w:rPr>
        <w:t>уполномоченного органа, осуществляющего регулирование, контроль и надзор финансового рынка и финансовых организаций, в следующем составе:</w:t>
      </w:r>
    </w:p>
    <w:bookmarkEnd w:id="145"/>
    <w:bookmarkStart w:name="z216" w:id="14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46"/>
    <w:bookmarkStart w:name="z217" w:id="147"/>
    <w:p>
      <w:pPr>
        <w:spacing w:after="0"/>
        <w:ind w:left="0"/>
        <w:jc w:val="both"/>
      </w:pPr>
      <w:r>
        <w:rPr>
          <w:rFonts w:ascii="Times New Roman"/>
          <w:b w:val="false"/>
          <w:i w:val="false"/>
          <w:color w:val="000000"/>
          <w:sz w:val="28"/>
        </w:rPr>
        <w:t>
             Подробное описание обследованных объектов и изученных документов:</w:t>
      </w:r>
    </w:p>
    <w:bookmarkEnd w:id="147"/>
    <w:bookmarkStart w:name="z218" w:id="14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48"/>
    <w:bookmarkStart w:name="z219" w:id="149"/>
    <w:p>
      <w:pPr>
        <w:spacing w:after="0"/>
        <w:ind w:left="0"/>
        <w:jc w:val="both"/>
      </w:pPr>
      <w:r>
        <w:rPr>
          <w:rFonts w:ascii="Times New Roman"/>
          <w:b w:val="false"/>
          <w:i w:val="false"/>
          <w:color w:val="000000"/>
          <w:sz w:val="28"/>
        </w:rPr>
        <w:t>
             Проверкой технических и иных документов микрофинансовой организации, субъекта</w:t>
      </w:r>
      <w:r>
        <w:br/>
      </w:r>
      <w:r>
        <w:rPr>
          <w:rFonts w:ascii="Times New Roman"/>
          <w:b w:val="false"/>
          <w:i w:val="false"/>
          <w:color w:val="000000"/>
          <w:sz w:val="28"/>
        </w:rPr>
        <w:t>естественной монополии, кредитного товарищества или коллекторского агентства</w:t>
      </w:r>
      <w:r>
        <w:br/>
      </w:r>
      <w:r>
        <w:rPr>
          <w:rFonts w:ascii="Times New Roman"/>
          <w:b w:val="false"/>
          <w:i w:val="false"/>
          <w:color w:val="000000"/>
          <w:sz w:val="28"/>
        </w:rPr>
        <w:t>_____________________________, обследованием ее (его) технических помещений,</w:t>
      </w:r>
      <w:r>
        <w:br/>
      </w:r>
      <w:r>
        <w:rPr>
          <w:rFonts w:ascii="Times New Roman"/>
          <w:b w:val="false"/>
          <w:i w:val="false"/>
          <w:color w:val="000000"/>
          <w:sz w:val="28"/>
        </w:rPr>
        <w:t>электронно-компьютерного оборудования, систем связи и защитных устройств и иных</w:t>
      </w:r>
      <w:r>
        <w:br/>
      </w:r>
      <w:r>
        <w:rPr>
          <w:rFonts w:ascii="Times New Roman"/>
          <w:b w:val="false"/>
          <w:i w:val="false"/>
          <w:color w:val="000000"/>
          <w:sz w:val="28"/>
        </w:rPr>
        <w:t>объектов, предназначенных для работы в системе формирования кредитных историй и их</w:t>
      </w:r>
      <w:r>
        <w:br/>
      </w:r>
      <w:r>
        <w:rPr>
          <w:rFonts w:ascii="Times New Roman"/>
          <w:b w:val="false"/>
          <w:i w:val="false"/>
          <w:color w:val="000000"/>
          <w:sz w:val="28"/>
        </w:rPr>
        <w:t>использования, установлено 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(соответствие (несоответствие) предъявляемым требованиям и достаточность</w:t>
      </w:r>
      <w:r>
        <w:br/>
      </w:r>
      <w:r>
        <w:rPr>
          <w:rFonts w:ascii="Times New Roman"/>
          <w:b w:val="false"/>
          <w:i w:val="false"/>
          <w:color w:val="000000"/>
          <w:sz w:val="28"/>
        </w:rPr>
        <w:t xml:space="preserve">       (недостаточность) для начала (продолжения) деятельности организации на рынке</w:t>
      </w:r>
      <w:r>
        <w:br/>
      </w:r>
      <w:r>
        <w:rPr>
          <w:rFonts w:ascii="Times New Roman"/>
          <w:b w:val="false"/>
          <w:i w:val="false"/>
          <w:color w:val="000000"/>
          <w:sz w:val="28"/>
        </w:rPr>
        <w:t xml:space="preserve">                               информационных услуг).</w:t>
      </w:r>
    </w:p>
    <w:bookmarkEnd w:id="149"/>
    <w:bookmarkStart w:name="z220" w:id="150"/>
    <w:p>
      <w:pPr>
        <w:spacing w:after="0"/>
        <w:ind w:left="0"/>
        <w:jc w:val="both"/>
      </w:pPr>
      <w:r>
        <w:rPr>
          <w:rFonts w:ascii="Times New Roman"/>
          <w:b w:val="false"/>
          <w:i w:val="false"/>
          <w:color w:val="000000"/>
          <w:sz w:val="28"/>
        </w:rPr>
        <w:t>
             Представители уполномоченного органа, осуществляющего регулирование, контроль</w:t>
      </w:r>
      <w:r>
        <w:br/>
      </w:r>
      <w:r>
        <w:rPr>
          <w:rFonts w:ascii="Times New Roman"/>
          <w:b w:val="false"/>
          <w:i w:val="false"/>
          <w:color w:val="000000"/>
          <w:sz w:val="28"/>
        </w:rPr>
        <w:t>и надзор финансового рынка и финансовых организаций:</w:t>
      </w:r>
    </w:p>
    <w:bookmarkEnd w:id="150"/>
    <w:bookmarkStart w:name="z221" w:id="151"/>
    <w:p>
      <w:pPr>
        <w:spacing w:after="0"/>
        <w:ind w:left="0"/>
        <w:jc w:val="both"/>
      </w:pPr>
      <w:r>
        <w:rPr>
          <w:rFonts w:ascii="Times New Roman"/>
          <w:b w:val="false"/>
          <w:i w:val="false"/>
          <w:color w:val="000000"/>
          <w:sz w:val="28"/>
        </w:rPr>
        <w:t>
      _________________             ___________________________            ___________________</w:t>
      </w:r>
      <w:r>
        <w:br/>
      </w:r>
      <w:r>
        <w:rPr>
          <w:rFonts w:ascii="Times New Roman"/>
          <w:b w:val="false"/>
          <w:i w:val="false"/>
          <w:color w:val="000000"/>
          <w:sz w:val="28"/>
        </w:rPr>
        <w:t>(должность)                   (фамилия, имя, отчество                        (подпись)</w:t>
      </w:r>
      <w:r>
        <w:br/>
      </w:r>
      <w:r>
        <w:rPr>
          <w:rFonts w:ascii="Times New Roman"/>
          <w:b w:val="false"/>
          <w:i w:val="false"/>
          <w:color w:val="000000"/>
          <w:sz w:val="28"/>
        </w:rPr>
        <w:t xml:space="preserve">                         (при его наличии)</w:t>
      </w:r>
    </w:p>
    <w:bookmarkEnd w:id="151"/>
    <w:bookmarkStart w:name="z222" w:id="152"/>
    <w:p>
      <w:pPr>
        <w:spacing w:after="0"/>
        <w:ind w:left="0"/>
        <w:jc w:val="both"/>
      </w:pPr>
      <w:r>
        <w:rPr>
          <w:rFonts w:ascii="Times New Roman"/>
          <w:b w:val="false"/>
          <w:i w:val="false"/>
          <w:color w:val="000000"/>
          <w:sz w:val="28"/>
        </w:rPr>
        <w:t>
      _________________             ___________________________            ___________________</w:t>
      </w:r>
      <w:r>
        <w:br/>
      </w:r>
      <w:r>
        <w:rPr>
          <w:rFonts w:ascii="Times New Roman"/>
          <w:b w:val="false"/>
          <w:i w:val="false"/>
          <w:color w:val="000000"/>
          <w:sz w:val="28"/>
        </w:rPr>
        <w:t>(должность)                   (фамилия, имя, отчество                        (подпись)</w:t>
      </w:r>
      <w:r>
        <w:br/>
      </w:r>
      <w:r>
        <w:rPr>
          <w:rFonts w:ascii="Times New Roman"/>
          <w:b w:val="false"/>
          <w:i w:val="false"/>
          <w:color w:val="000000"/>
          <w:sz w:val="28"/>
        </w:rPr>
        <w:t xml:space="preserve">                         (при его наличии)</w:t>
      </w:r>
    </w:p>
    <w:bookmarkEnd w:id="152"/>
    <w:bookmarkStart w:name="z223" w:id="153"/>
    <w:p>
      <w:pPr>
        <w:spacing w:after="0"/>
        <w:ind w:left="0"/>
        <w:jc w:val="both"/>
      </w:pPr>
      <w:r>
        <w:rPr>
          <w:rFonts w:ascii="Times New Roman"/>
          <w:b w:val="false"/>
          <w:i w:val="false"/>
          <w:color w:val="000000"/>
          <w:sz w:val="28"/>
        </w:rPr>
        <w:t>
      _________________             ___________________________            ___________________</w:t>
      </w:r>
      <w:r>
        <w:br/>
      </w:r>
      <w:r>
        <w:rPr>
          <w:rFonts w:ascii="Times New Roman"/>
          <w:b w:val="false"/>
          <w:i w:val="false"/>
          <w:color w:val="000000"/>
          <w:sz w:val="28"/>
        </w:rPr>
        <w:t>(должность)                   (фамилия, имя, отчество                        (подпись)</w:t>
      </w:r>
      <w:r>
        <w:br/>
      </w:r>
      <w:r>
        <w:rPr>
          <w:rFonts w:ascii="Times New Roman"/>
          <w:b w:val="false"/>
          <w:i w:val="false"/>
          <w:color w:val="000000"/>
          <w:sz w:val="28"/>
        </w:rPr>
        <w:t xml:space="preserve">                         (при его наличии)</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91</w:t>
            </w:r>
          </w:p>
        </w:tc>
      </w:tr>
    </w:tbl>
    <w:bookmarkStart w:name="z9" w:id="154"/>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154"/>
    <w:bookmarkStart w:name="z10"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18 июля 2008 года № 105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(зарегистрированное в Реестре государственной регистрации нормативных правовых актов под № 5310, опубликованное 31 октября 2008 года в газете "Юридическая газета" № 166 (1566), 15 октября 2008 года в Собрании актов центральных исполнительных и иных центральных государственных органов Республики Казахстан № 10).</w:t>
      </w:r>
    </w:p>
    <w:bookmarkEnd w:id="155"/>
    <w:bookmarkStart w:name="z11"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августа 2011 года № 97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18 июля 2008 года № 105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(зарегистрированное в Реестре государственной регистрации нормативных правовых актов под № 7211, опубликованное 13 октября 2011 года в газете "Юридическая газета" № 149 (2139)).</w:t>
      </w:r>
    </w:p>
    <w:bookmarkEnd w:id="156"/>
    <w:bookmarkStart w:name="z12"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18 июля 2008 года № 105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(зарегистрированное в Реестре государственной регистрации нормативных правовых актов под № 7620, опубликованное 4 августа 2012 года в газете "Казахстанская правда" № 251-253 (27070-27072)).</w:t>
      </w:r>
    </w:p>
    <w:bookmarkEnd w:id="157"/>
    <w:bookmarkStart w:name="z13"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января 2013 года № 9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18 июля 2008 года № 105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(зарегистрированное в Реестре государственной регистрации нормативных правовых актов под № 8365, опубликованное 5 июня 2013 года в газете "Юридическая газета" № 81 (2456)).</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