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84bbc" w14:textId="6b84b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проверочных листов и критериев оценки степени рисков деятельности государственных органов по соблюдению законодательства в сфере оказания государственных услуг, государственной службы, служебной этики и антикоррупционного законодательства в сфере оказания государственных услуг и государственной службы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Председателя Агентства Республики Казахстан по делам государственной службы и противодействию коррупции от 30 июня 2015 года № 203 и Министра национальной экономики Республики Казахстан от 8 июля 2015 года № 506. Зарегистрирован в Министерстве юстиции Республики Казахстан 7 августа 2015 года № 11852. Утратил силу совместным приказом Министра по делам государственной службы Республики Казахстан от 11 февраля 2016 года № 32 и Министра национальной экономики Республики Казахстан от 19 февраля 2016 года № 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совместным приказом Министра по делам государственной службы РК от 11.02.2016 </w:t>
      </w:r>
      <w:r>
        <w:rPr>
          <w:rFonts w:ascii="Times New Roman"/>
          <w:b w:val="false"/>
          <w:i w:val="false"/>
          <w:color w:val="ff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19.02.2016 № 89 (вводится в действие со дня его первого официального опубликования).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и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6 января 2011 года «О государственном контроле и надзоре в Республике Казахстан»,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форму проверочного листа деятельности государственных органов по соблюдению законодательства в сфере оказания государственных услуг и антикоррупционного законодательства в данной сфере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критерии оценки степени рисков деятельности государственных органов по соблюдению законодательства в сфере оказания государственных услуг и антикоррупционного законодательства в данной сфере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форму проверочного листа деятельности государственных органов по соблюдению законодательства о государственной службе, служебной этики и антикоррупционного законодательства в сфере государственной службы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критерии оценки степени рисков деятельности государственных органов по соблюдению законодательства о государственной службе, служебной этики и антикоррупционного законодательства в сфере государственной службы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службы и профилактики коррупции Агентства Республики Казахстан по делам государственной службы и противодействию коррупции (Комекбаев А.А.)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совместного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совместного приказа в Министерстве юстиции Республики Казахстан его направление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интернет-ресурсе Агентства Республики Казахстан по делам государственной службы и противодействию коррупции.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заместителя Председателя Агентства Республики Казахстан по делам государственной службы и противодействию коррупции Ахметжанова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Агентства                 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 Республики Казахстан по делам            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государственной службы и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противодействию коррупции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____________ К. Кожамжаров            ____________ Е. Досаев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 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правовой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статистике и специальным учетам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Генеральной прокуратуры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 С. Айтпаева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июня 2015 года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делам государственной службы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противодействию коррупции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июня 2015 года № 203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июля 2015 года № 506   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              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деятельности государственных органов по соблюдению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законодательства в сфере оказания государственных услуг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антикоррупционного законодательства в данной сфере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проверяемого субъекта (объекта)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(ИИН), БИН проверяемого субъекта (объекта)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 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4116"/>
        <w:gridCol w:w="2151"/>
        <w:gridCol w:w="1933"/>
        <w:gridCol w:w="2566"/>
        <w:gridCol w:w="2566"/>
      </w:tblGrid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требованиям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 требованиям</w:t>
            </w:r>
          </w:p>
        </w:tc>
      </w:tr>
      <w:tr>
        <w:trPr>
          <w:trHeight w:val="14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сроков оказания государственных услуг, установленных стандартами государственных услуг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утвержденного стандарта государственной услуги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утвержденного регламента государственной услуги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необходимых условий для лиц с ограниченными возможностями при получении ими государственных услуг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полной и достоверной информации о порядке оказания государственных услуг услугополучателям в доступной форме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работников в сфере оказания государственных услуг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подтвержденных жалоб услугополучателей, своевременное информирование их о результатах рассмотрения в сроки, установленные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15 апреля 2013 года «О государственных услугах» 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Информирование по запросу услугополучателей о стадии исполнения государственной услуги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мер, направленных на восстановление нарушенных прав, свобод и законных интересов услугополучателей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внесения данных в информационную систему мониторинга оказания государственных услуг о стадии оказания государственной услуги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доступности стандартов и регламентов государственных услуг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информации о порядке оказания государственных услуг в Единый контакт-центр по вопросам оказания государственных услуг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0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внутреннего контроля за качеством оказания государственных услуг в соответствии с законодательством Республики Казахстан в сфере оказания государственных услуг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отчета о завершении публичного обсуждения проекта стандарта государственной услуги требованиям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«О государственных услугах»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сроков разработки и утверждения стандарта государственной услуги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сроков разработки и утверждения регламента государственной услуги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сроков актуализации информации о порядке оказания государственной услуги после утверждения или изменения стандарта государственной услуги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на веб-портале «электронного правительства», интернет-ресурсе и других средствах массовой информации отчета о деятельности по вопросам оказания государственных услуг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публичных обсуждений отчетов о деятельности в сфере оказания государственных услуг с участием услугодателей, заинтересованных физических и юридических лиц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мер по повышению качества оказания государственных услуг с учетом заключений общественного мониторинга качества оказания государственных услуг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государственной услуги на бесплатной основе, бесплатное предоставление которых гарантировано законами Республики Казахстан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Информирование получателей услуг о порядке оказания государственной услуги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причин и условий, способствующих совершению коррупционных правонарушений в сфере оказания государственных услуг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коррупционных правонарушений, связанных с противоправным получением благ и преимуществ в сфере оказания государственных услуг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Повторные нарушения, ранее выявленные по результатам предыдущих проверок 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Отстутствие одного и более подтвержденной жалобы или обращения на качество оказанных государственных услуг, поступивших от физических или юридических лиц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сроков рассмотрения подтвержденной жалобы услугополучателя, поступившей в адрес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округа, услугодателя, центра обслуживания населения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подтвержденной жалобы или обращения касательно нарушения сроков оказания государственных услуг, установленных стандартами государственных услуг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подтвержденной жалобы или обращения касательно истребования документов, не предусмотренных перечнем необходимых документов для получения государственной услуги согласно стандарту государственной услуги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предоставление проверяемыми субъектами отчетной информации по внутреннему контролю за качеством оказания государственных услуг в установленные законодательством сроки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проверяемыми субъектами отчетной информации по внутреннему контролю за качеством оказания государственных услуг 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нарушений сроков оказания государственных услуг, установленных стандартами государственных услуг, в отчетных данных проверяемых субъектов по внутреннему контролю за качеством оказания государственных услуг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жалоб на качество оказания государственных услуг в отчетной информации проверяемых субъектов по внутреннему контролю за качеством оказания государственных услуг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достоверной и (или) полной информации проверяемыми субъектами в отчетной информации по внутреннему контролю за качеством оказания государственных услуг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на интернет-ресурсах проверяемых субъектов результатов контроля качества оказания государственных услуг 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стандартов государственных услуг на веб-портале «электронного правительства», интернет-ресурсах проверяемых субъектов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проверяемыми субъектами на веб-портале «электронного правительства», интернет-ресурсах и других средствах массовой информации отчета о деятельности по вопросам оказания государственных услуг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центральным государственным органом, разрабатывающего стандарт государственной услуги, проекта стандарта государственной услуги для его публичного обсуждения на веб-портале «электронного правительства», своем интернет-ресурсе и (или) интернет-ресурсах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центральным государственным органом, разрабатывающего проект стандарта государственной услуги, отчета о завершении публичного обсуждения проекта стандарта государственной услуги на веб-портале «электронного правительства», своем интернет-ресурсе и (или) интернет-ресурсах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сроков оказания государственных услуг согласно информации Интегрированной информационной системы «Мониторинг» уполномоченного органа в сфере информатизации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4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необходимой информации, относящейся к сфере оказания государственных услуг, в случае отсутствия данной информации на интернет-ресурсах проверяемых субъектов, за исключением информации, составляющей государственные секреты, коммерческую и иную охраняемую законом тайну, в соответствии с законодательством Республики Казахстан при проведении общественного мониторинга качества оказания государственных услуг по государственному социальному заказу уполномоченного органа по оценке и контролю за качеством оказания государственных услуг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Эффективная деятельность государственного органа по результатам ежегодной оценки по направлению «оказание государственных услуг»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(ые) лицо (а) 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(должность)           (подпись)    (Ф.И.О.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проверяемого субъекта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(при его наличии),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должность)                (подпись)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совместному приказу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делам государственной службы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противодействию коррупции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июня 2015 года № 203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июля 2015 года № 506   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оценки степени рисков деятельности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государственных органов по соблюдению законодательства </w:t>
      </w:r>
      <w:r>
        <w:br/>
      </w:r>
      <w:r>
        <w:rPr>
          <w:rFonts w:ascii="Times New Roman"/>
          <w:b/>
          <w:i w:val="false"/>
          <w:color w:val="000000"/>
        </w:rPr>
        <w:t>
в сфере оказания государственных услуги антикоррупционного</w:t>
      </w:r>
      <w:r>
        <w:br/>
      </w:r>
      <w:r>
        <w:rPr>
          <w:rFonts w:ascii="Times New Roman"/>
          <w:b/>
          <w:i w:val="false"/>
          <w:color w:val="000000"/>
        </w:rPr>
        <w:t>
законодательства в данной сфере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оценки степени рисков деятельности государственных органов по соблюдению законодательства в сфере оказания государственных услуг и антикоррупционного законодательства в данной сфере (далее – Критерии) разработаны в соответствии с Законами Республики Казахстан «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контроле и надзоре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» и «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», а также Положением об Агентстве Республики Казахстан по делам государственной службы и противодействию коррупции,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августа 2014 года № 900, для отнесения проверяемых субъектов к определенной группе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проверяемые субъекты –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округов, оказывающие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критерии оценки степени риска – совокупность количественных и качественных показателей, связанных с непосредственной деятельностью проверяемого субъекта, особенностями отраслевого развития и факторами, влияющими на это развитие, позволяющих отнести проверяемых субъектов к различным степеням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риск – вероятность причинения вреда получателям государственных услуг в результате некачественного оказания государственных услуг и применения стандартов и регламентов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Определение проверяемых субъектов по степеням риска осуществляется путем объективных и субъективных критериев, по оценке степени рисков.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 объективным критериям первоначально все проверяемые субъекты относятся к высокой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отношении проверяемых субъектов, отнесенных к высокой степени риска проводятся выборочные проверки, внеплановые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Кратность проведения выборочной проверки не может быть чаще одного раза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Субъективные критерии определяются на основании следующих информационных источников: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результаты предыдущих проверок. При этом, степень тяжести нарушений (грубое, значительное, незначительное) устанавливается в случае несоблюдения требований законодательства в сфере оказания государственных услуг, отраженной в проверочном листе;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подтвержденных жалоб и обращений на качество оказанных государственных услуг, поступивших от физических или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результаты мониторинга отчетности и сведений, представляемых проверяемыми субъектами, а также получаемых из информационных систем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анализ официальных интернет-ресурсов государственных органов, средств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результаты анализа сведений, отчетных данных, представляемых уполномоченными органами и организациями по запросу, общественного мониторинга качества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 основании информационных источников, определенных в пункте 7 настоящих Критериев определяются субъективные критерии,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показателям степени риска проверяемый субъект относится: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60 до 100 и в отношении него проводится выборочная проверка, внеплановая проверка и иные формы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неотнесенный к высокой степени риска – при показателе степени риска от 0 до 60 и в отношении него не проводится выборочная проверка, проводятся внеплановая проверка и иные формы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расчете показателя степени риска определяется удельный вес не выполненных требований (индикаторов).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Одно невыполненное требование грубой степени приравнивается к показателю 100.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индикаторов грубой степени не выявлено, то для определения показателя степени риска рассчитывается суммарный показатель индикаторов значительной и незначительной степени.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нарушений значительной степени применяется коэффициент 0,7 и данный показатель рассчитывается по следующей формуле: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22098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нарушений значительной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общее количество индикаторов значительной степени, предъявленных к проверке (анализу) проверяемому субъекту (объекту);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количество нарушенных индикаторов значительной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нарушений незначительной степени применяется коэффициент 0,3 и данный показатель рассчитывается по следующей формуле: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нарушений незначительной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общее количество индикаторов незначительной степени, предъявленных к проверке (анализу) проверяемому субъекту (объекту);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количество нарушенных индикаторов незначительной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Общий показатель степени риска (</w:t>
      </w: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Р) рассчитывается по шкале от 0 до 100 и определяется путем суммирования показателей по следующей формуле: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891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 - общий показатель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- показатель нарушений значительной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- показатель нарушений незначительной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Выборочные проверки проводятся на основании списков выборочных проверок, формируемых на полугодие  по результатам проводимого анализа и оценки, которые направляются в уполномоченный орган по правовой статистике и специальным учетам в срок не позднее, чем за пятнадцать календарных дней до начала соответствующего отчетного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Списки выборочных проверок составляются с учетом: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приоритетности проверяемых субъектов (объектов) с наибольшим показателем степени риска по субъективным критериям;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нагрузки на должностных лиц, осуществляющих проверки,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На каждого проверяемого субъекта ведется подшивка, в котором подшиваются копии актов о назначении проверок, проверочных листов по проверке, копии внесенных рекомендаций по устранению выявленных нарушений и условий, способствующих их совершению, сведения о результатах проверки и проводимых мероприятий по исполнению требований законодательства в сфере оказания государственных услуг.</w:t>
      </w:r>
    </w:p>
    <w:bookmarkEnd w:id="6"/>
    <w:bookmarkStart w:name="z4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Критериям оценки степени рисков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государственных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соблюдению законодательства в сфере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оказания государственных услуг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антикоррупционного законодательства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данной сфере           </w:t>
      </w:r>
    </w:p>
    <w:bookmarkEnd w:id="7"/>
    <w:bookmarkStart w:name="z4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Субъективные критерии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(степень тяжести устанавливается при несоблюдении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нижеперечисленных требований)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2"/>
        <w:gridCol w:w="9931"/>
        <w:gridCol w:w="3007"/>
      </w:tblGrid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Степень нарушения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результатам предыдущих проверок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сроков оказания государственных услуг, установленных стандартами государственных услуг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утвержденного стандарта государственной услуги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утвержденного регламента государственной услуги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необходимых условий для лиц с ограниченными возможностями при получении ими государственных услуг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полной и достоверной информации о порядке оказания государственных услуг услугополучателям в доступной форме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работников в сфере оказания государственных услуг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105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подтвержденных жалоб услугополучателей, своевременное информирование их о результатах рассмотрения в сроки, установленные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15 апреля  2013 года «О государственных услугах» 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Информирование по запросу услугополучателей о стадии исполнения государственной услуги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мер, направленных на восстановление нарушенных прав, свобод и законных интересов услугополучателей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внесения данных в информационную систему мониторинга оказания государственных услуг о стадии оказания государственной услуги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доступности стандартов и регламентов государственных услуг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информации о порядке оказания государственных услуг в Единый контакт-центр по вопросам оказания государственных услуг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внутреннего контроля за качеством оказания государственных услуг в соответствии с законодательством Республики Казахстан в сфере оказания государственных услуг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отчета о завершении публичного обсуждения проекта стандарта государственной услуги требованиям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 государственных услугах»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сроков разработки и утверждения стандарта государственной услуги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сроков разработки и утверждения регламента государственной услуги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сроков актуализации информации о порядке оказания государственной услуги после утверждения или изменения стандарта государственной услуги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на веб-портале «электронного правительства», интернет-ресурсе и других средствах массовой информации отчета о деятельности по вопросам оказания государственных услуг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публичных обсуждений отчетов о деятельности в сфере оказания государственных услуг с участием услугодателей, заинтересованных физических и юридических лиц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мер по повышению качества оказания государственных услуг с учетом заключений общественного мониторинга качества оказания государственных услуг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государственной услуги на бесплатной основе, бесплатное предоставление которых гарантировано законами Республики Казахстан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Информирование получателей услуг о порядке оказания государственной услуги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причин и условий, способствующих совершению коррупционных правонарушений в сфере оказания государственных услуг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коррупционных правонарушений, связанных с противоправным получением благ и преимуществ в сфере оказания государственных услуг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Повторные нарушения, ранее выявленные по результатам предыдущих проверок 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наличию подтвержденных жалоб и обращений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качество оказанных государственных услуг, поступивших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физических или юридических лиц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Отстутствие одного и более подтвержденной жалобы или обращения на качество оказанных государственных услуг, поступивших от физических или юридических лиц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сроков рассмотрения подтвержденной жалобы услугополучателя, поступившей в адрес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округа, услугодателя, центра обслуживания населения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подтвержденной жалобы или обращения касательно нарушения сроков оказания государственных услуг, установленных стандартами государственных услуг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подтвержденной жалобы или обращения касательно истребования документов, не предусмотренных перечнем необходимых документов для получения государственной услуги согласно стандарту государственной услуги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результатам мониторинга отчетности и сведений,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представляемых проверяемыми субъектами, а также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получаемых из информационных систем государственных органов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предоставление проверяемыми субъектами отчетной информации по внутреннему контролю за качеством оказания государственных услуг в установленные законодательством сроки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проверяемыми субъектами отчетной информации по внутреннему контролю за качеством оказания государственных услуг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нарушений сроков оказания государственных услуг, установленных стандартами государственных услуг, в отчетных данных проверяемых субъектов по внутреннему контролю за качеством оказания государственных услуг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жалоб на качество оказания государственных услуг в отчетной информации проверяемых субъектов по внутреннему контролю за качеством оказания государственных услуг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достоверной и (или) полной информации проверяемыми субъектами в отчетной информации по внутреннему контролю за качеством оказания государственных услуг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анализу официальных интернет-ресурсов государственных органов, средств массовой информации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на интернет-ресурсах проверяемых субъектов результатов контроля качества оказания государственных услуг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стандартов государственных услуг на веб-портале «электронного правительства», интернет-ресурсах проверяемых субъектов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проверяемыми субъектами на веб-портале «электронного правительства», интернет-ресурсах и других средствах массовой информации отчета о деятельности по вопросам оказания государственных услуг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центральным государственным органом, разрабатывающего стандарт государственной услуги, проекта стандарта государственной услуги для его публичного обсуждения на веб-портале «электронного правительства», своем интернет-ресурсе и (или) интернет-ресурсах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центральным государственным органом, разрабатывающего проект стандарта государственной услуги, отчета о завершении публичного обсуждения проекта стандарта государственной услуги на веб-портале «электронного правительства», своем интернет-ресурсе и (или) интернет-ресурсах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результатам анализа сведений, отчетных данных, представляемых уполномоченными органами и организациями по запросу, общественного мониторинга качества оказания государственных услуг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сроков оказания государственных услуг согласно информации Интегрированной информационной системы «Мониторинг» уполномоченного органа в сфере информатизации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необходимой информации, относящейся к сфере оказания государственных услуг, в случае отсутствия данной информации на интернет-ресурсах проверяемых субъектов, за исключением информации, составляющей государственные секреты, коммерческую и иную охраняемую законом тайну, в соответствии с законодательством Республики Казахстан при проведении общественного мониторинга качества оказания государственных услуг по государственному социальному заказу уполномоченного органа по оценке и контролю за качеством оказания государственных услуг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Эффективная деятельность государственного органа по результатам ежегодной оценки по направлению «оказание государственных услуг»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</w:tbl>
    <w:bookmarkStart w:name="z4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делам государственной службы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противодействию коррупции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июня 2015 года № 203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июля 2015 года № 506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 </w:t>
      </w:r>
    </w:p>
    <w:bookmarkStart w:name="z4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деятельности государственных органов по соблюдению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 xml:space="preserve">законодательства о государственной службе, служебной этики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и антикоррупционного законодательства в сфере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службы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проверяемого субъекта (объекта)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(ИИН), БИН проверяемого субъекта (объекта)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 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4844"/>
        <w:gridCol w:w="1715"/>
        <w:gridCol w:w="1908"/>
        <w:gridCol w:w="2340"/>
        <w:gridCol w:w="2534"/>
      </w:tblGrid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требованиям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государственными служащими государственной и трудовой дисциплины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Соответствие лиц, поступающих на государственную службу требованиям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государственной службе» (далее – Закон)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продолжительности рабочего времени в государственных органах требованиям трудового законодательства Республики Казахстан с учетом особенностей, предусмотренных Законом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гарантий и компенсаций государственных служащих при командировках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Закона при конфликте интересов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порядка поступления на административную государственную службу, перевода и прекращения государственной службы административными государственными служащими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при предоставлении государственным служащим трудовых отпусков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обеспечению мер социальной защиты в отношении государственных служащих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порядка принесения присяги административными государственными служащими Республики Казахстан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29 декабря 1999 года № 319 «Об утверждении текста присяги административного государственного служащего Республики Казахстан и Правил принесения присяги административными государственными служащими Республики Казахстан»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порядка наложения дисциплинарных взысканий на административных государственных служащих Республики Казахстан, установленных Правилами наложения дисциплинарных взысканий на административных государственных служащих Республики Казахстан, утвержденных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31 декабря 1999 года № 321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порядка проведения ежегодной оценки деятельности и аттестации административных государственных служащих Республики Казахстан, предусмотренного Правилами проведения ежегодной оценки деятельности и аттестации административных государственных служащих, утвержденных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21 января 2000 года № 327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Положения о порядке прохождения государственной службы, утвержденного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10 марта 2000 года № 357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периодичности подготовки, переподготовки и повышения квалификации административных государственных служащих Республики Казахстан, предусмотренных Правилами подготовки, переподготовки и повышения квалификации государственных служащих Республики Казахстан, утвержденных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11 октября 2004 года № 1457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Правил проведения конкурса на занятие административной государственной должности и формирования конкурсной комиссии, утвержденных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делам государственной службы от 19 марта 2013 года № 06-7/32 (зарегистрированный в Реестре государственной регистрации нормативно правовых актов под № 8380)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Положения о кадровом резерве государственной службы, утвержденного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2003 года № 1243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рекомендации по заполнению формы послужного списка государственного служащего, утверждаемого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делам государственной службы от 29 апреля 2003 года № 02-01-02/59 (зарегистрированный в Реестре государственной регистрации нормативно правовых актов под № 2290)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лиц, назначенных на административные государственные должности корпуса «Б», квалификационным требованиям к категориям административных государственных должностей групп категорий А, В, С, D, Е корпуса «Б», предусмотренных Типовыми квалификационными требованиями к категориям административных государственных должностей корпуса «Б», утвержденных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делам государственной службы и противодействию коррупции от 11 декабря 2014 года № 58 (зарегистрированный в Реестре государственной регистрации нормативно правовых актов под № 10080)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должностных инструкций государственных служащих Правилам по разработке и утверждению должностной инструкции административного государственного служащего, утвержденных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делам государственной службы от 12 августа 2011 года № 02-01-02/164 (зарегистрированный в Реестре государственной регистрации нормативно правовых актов под № 7157)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ограничений по созданию в государственных органах организаций политических партий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государственными служащими требований статьи 20-1 Закона и Кодекса чести государственных служащих Республики Казахстан (Правил служебной этики государственных служащих), утвержденного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3 мая 2005 года № 1567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государственного служащего с Кодексом чести в письменной форме, в трехдневный срок после поступления на государственную службу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текста Кодекса чести в зданиях государственных органов в местах, доступных для всеобщего обозрения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причин и условий, способствующих совершению коррупционных правонарушений в сфере  государственной службы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антикоррупционного законодательства на предмет наличия в личном деле письма органов национальной безопасности о результатах прохождения государственным служащим обязательной специальной проверки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мер финансового контроля в соответствии с Законом Республики Казахстан «О борьбе с коррупцией»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государственными служащими ограничений по занятию должности, находящейся в непосредственной подчиненности должностям, занимаемыми их близкими родственниками (родителями, детьми, усыновителями, усыновленными, полнородными и неполнородными братьями и сестрами, дедушками, бабушками, внуками) или супругом (супругой), за исключением случаев, предусмотренных законодательством Республики Казахстан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государственными служащими ограничений по занятию иной деятельности, несовместимой с выполнением государственных функций, установленных антикоррупционным законодательством в сфере государственной службы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правонарушений, создающих условия для коррупции, установленных антикоррупционным законодательством в сфере государственной службы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коррупционных правонарушений, связанных с противоправным получением благ и преимуществ в сфере  государственной службы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Повторные нарушения, выявленных по результатам предыдущих проверок и иных форм контроляв сфере государственной службы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одного и более подтвержденной жалобы физических и юридических лиц на нарушение требований законодательства о государственной службе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одного и более подтвержденной жалобы физических и юридических лиц на нарушение требований антикоррупционного законодательства в сфере государственной службы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одного и более подтвержденной жалобы физических и юридических лиц на нарушение требований норм Кодекса чести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Низкая степень эффективности деятельности государственных органов по результатам ежегодной оценки по направлению «управление персоналом»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Качественное и своевременное предоставление отчетов по мониторингу состояния кадров государственной службы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Своевременное предоставление выписки из протокола заседания конкурсной комиссии с рекомендацией о зачислении в кадровый резерв корпуса "Б", личного дела участника конкурса и его письменного согласия быть зачисленным в кадровый резерв корпуса "Б"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течение десяти рабочих дней)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0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уведомление о принятом решении по результатам проведенного собеседования с лицами состоявших в кадровом резерве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течение пятнадцати рабочих днейсо дня получения списка резервистов)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Качественное и своевременное предоставление отчета, прошедших переподготовку и повышение квалификации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(по итогам года до 10 января следующего года)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Обоснованные обвинения в средствах массовой информации и интернет - ресурсах в отношении государственных органов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3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Обоснованные обвинения в средствах массовой информации и интернет-ресурсах в отношении государственных служащих и иных лиц, уполномоченных на выполнение государственных функций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(ые) лицо (а) ___________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(должность)           (подпись)    (Ф.И.О.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проверяемого субъекта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(при его наличии),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должность)                (подпись)</w:t>
      </w:r>
    </w:p>
    <w:bookmarkStart w:name="z4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совместному приказу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делам государственной службы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противодействию коррупции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июня 2015 года № 203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июля 2015 года № 506   </w:t>
      </w:r>
    </w:p>
    <w:bookmarkEnd w:id="11"/>
    <w:bookmarkStart w:name="z4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оценки степени рисков деятельности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органов по соблюдению законодательства</w:t>
      </w:r>
      <w:r>
        <w:br/>
      </w:r>
      <w:r>
        <w:rPr>
          <w:rFonts w:ascii="Times New Roman"/>
          <w:b/>
          <w:i w:val="false"/>
          <w:color w:val="000000"/>
        </w:rPr>
        <w:t>
о государственной службе, служебной этики и антикоррупционного</w:t>
      </w:r>
      <w:r>
        <w:br/>
      </w:r>
      <w:r>
        <w:rPr>
          <w:rFonts w:ascii="Times New Roman"/>
          <w:b/>
          <w:i w:val="false"/>
          <w:color w:val="000000"/>
        </w:rPr>
        <w:t>
законодательства в сфере государственной службы</w:t>
      </w:r>
    </w:p>
    <w:bookmarkEnd w:id="12"/>
    <w:bookmarkStart w:name="z4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оценки степени рисков деятельности государственных органов по соблюдению законодательства о государственной службе, служебной этики и антикоррупционного законодательства в сфере государственной службы (далее – Критерии) разработаны в соответствии с Законами Республики Казахстан «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контроле и надзоре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Казахстан», «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», Кодекса чести, а также 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Агентстве Республики Казахстан по делам государственной службы и противодействию коррупции, утвержденным Указом Президента Республики Казахстан от 29 августа 2014 года № 900, для отнесения проверяемых субъектов к определенной группе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проверяемые субъекты - государственные органы Республики Казахстан (государственные служащие и иные лица, уполномоченные на выполнение государственных функций, и лица, приравненные к ним);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критерии оценки степени риска – совокупность количественных и качественных показателей, связанных с непосредственной деятельностью проверяемого субъекта, особенностями отраслевого развития и факторами, влияющими на это развитие, позволяющих отнести проверяемых субъектов к различным степеням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риск - вероятность ухудшения профессионализации системы государственной службы, основанной на принципах меритократии, эффективности, результативности, транспарентности, нарушение прав и причинения вреда законным интересам физических и юридических лиц, государственных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Определение проверяемых субъектов по степеням риска осуществляется путем объективных и субъективных критериев, по оценке степени рисков.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 объективным критериям первоначально все проверяемые субъекты относятся к высокой степени риска объективных критериев.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отношении проверяемых субъектов, отнесенных к высокой степени риска проводятся выборочные проверки, внеплановые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Кратность проведения выборочной проверки не может быть чаще одного раза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Субъективные критерии определяются на основании следующих информационных источников: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результаты предыдущих проверок. При этом, степень тяжести нарушений (грубое, значительное, незначительное) устанавливается в случае несоблюдения требований законодательства о государственной службе, служебной этики и антикоррупционного законодательства, отраженных в проверочном листе;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подтвержденных жалоб от физических и юридических лиц на нарушения требований законодательства о государственной службе, служебной этики и антикоррупционного законодательства в сфере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результаты оценки эффективности деятельности государственных органов по направлению «управление персоналом»;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результаты анализа сведений и отчетных данных, предоставляемых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Обоснованные обвинения в средствах массовой информации в отношении государственных органов, государственных служащих и иных лиц, уполномоченных на выполнение государственных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 основании информационных источников, определенных в пункте 7 настоящих Критериев определяются субъективные критерии,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показателям степени риска проверяемый субъект относится: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60 до 100 и в отношении него проводится выборочная проверка, внеплановая проверка и иные формы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неотнесенный к высокой степени риска – при показателе степени риска от 0 до 60 и в отношении него не проводится выборочная проверка, проводятся внеплановая проверка и иные формы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расчете показателя степени риска определяется удельный вес не выполненных требований (индикаторов).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Одно невыполненное требование грубой степени приравнивается к показателю 100.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индикаторов грубой степени не выявлено, то для определения показателя степени риска рассчитывается суммарный показатель индикаторов значительной и незначительной степени.      При определении показателя нарушений значительной степени применяется коэффициент 0,7 и данный показатель рассчитывается по следующей формуле: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22098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нарушений значительной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общее количество индикаторов значительной степени, предъявленных к проверке (анализу) проверяемому субъекту (объекту);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количество нарушенных индикаторов значительной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нарушений незначительной степени применяется коэффициент 0,3 и данный показатель рассчитывается по следующей формуле: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нарушений незначительной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общее количество индикаторов незначительной степени, предъявленных к проверке (анализу) проверяемому субъекту (объекту);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количество нарушенных индикаторов незначительной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Общий показатель степени риска (</w:t>
      </w: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Р) рассчитывается по шкале от 0 до 100 и определяется путем суммирования показателей по следующей формуле: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891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 - общий показатель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- показатель нарушений значительной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- показатель нарушений незначительной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Выборочные проверки проводятся на основании списков выборочных проверок, формируемых на полугодие по результатам проводимого анализа и оценки, которые направляются в уполномоченный орган по правовой статистике и специальным учетам в срок не позднее, чем за пятнадцать календарных дней до начала соответствующего отчетного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Списки выборочных проверок составляются с учетом: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приоритетности проверяемых субъектов (объектов) с наибольшим показателем степени риска по субъективным критериям;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нагрузки на должностных лиц, осуществляющих проверки,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каждого проверяемого субъекта ведется подшивка, в котором подшиваются копии актов о назначении проверок, проверочных листов по проверке, копии внесенных рекомендаций по устранению выявленных нарушений и условий, способствующих их совершению, сведения о результатах проверки и проводимых мероприятий по исполнению требований законодательства о государственной службе, служебной этикии антикоррупционного законодательства в сфере государственной службы.</w:t>
      </w:r>
    </w:p>
    <w:bookmarkEnd w:id="14"/>
    <w:bookmarkStart w:name="z7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Критериям оценки степени рисков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государственных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соблюдению законодательства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государственной службе, служебной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этики и антикоррупционного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законодательства в сфере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службы     </w:t>
      </w:r>
    </w:p>
    <w:bookmarkEnd w:id="15"/>
    <w:bookmarkStart w:name="z7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Субъективные критерии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(степень тяжести устанавливается при несоблюдении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нижеперечисленных требований)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10337"/>
        <w:gridCol w:w="2961"/>
      </w:tblGrid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Критерии 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Степень нарушения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результатам предыдущих проверок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государственными служащими государственной и трудовой дисциплины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лиц, поступающих на государственную службу требованиям установленным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 государственной службе» (далее – Закон)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продолжительности рабочего времени в государственных органах требованиям трудового законодательства Республики Казахстан с учетом особенностей, предусмотренных Законом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гарантий и компенсаций государственных служащих при командировках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Закона при конфликте интересов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порядка поступления на административную государственную службу, перевода и прекращения государственной службы административными государственными служащими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при предоставлении государственным служащим трудовых отпусков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обеспечению мер социальной защиты в отношении государственных служащих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порядка принесения присяги административными государственными служащими Республики Казахстан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29 декабря 1999 года № 319 «Об утверждении текста присяги административного государственного служащего Республики Казахстан и Правил принесения присяги административными государственными служащими Республики Казахстан»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порядка наложения дисциплинарных взысканий на административных государственных служащих Республики Казахстан, установленных Правилами наложения дисциплинарных взысканий на административных государственных служащих Республики Казахстан,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31 декабря 1999 года № 321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порядка проведения ежегодной оценки деятельности и аттестации административных государственных служащих Республики Казахстан, предусмотренного Правилами проведения ежегодной оценки деятельности и аттестации административных государственных служащих, утвержденных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21 января 2000 года № 327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Положения о порядке прохождения государственной службы, утвержденного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10 марта 2000 года № 357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периодичности подготовки, переподготовки и повышения квалификации административных государственных служащих Республики Казахстан, предусмотренных Правилами подготовки, переподготовки и повышения квалификации государственных служащих Республики Казахстан, утвержденных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11 октября 2004 года № 1457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Правил проведения конкурса на занятие административной государственной должности и формирования конкурсной комиссии, утвержденных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делам государственной службы от 19 марта 2013 года № 06-7/32 (зарегистрированный в Реестре государственной регистрации нормативно правовых актов под № 8380)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Положения о кадровом резерве государственной службы, утвержденного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4 декабря 2003 года № 1243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рекомендации по заполнению формы послужного списка государственного служащего, утверждаемого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делам государственной службы от 29 апреля 2003 года № 02-01-02/59 (зарегистрированный в Реестре государственной регистрации нормативно правовых актов под № 2290)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лиц, назначенных на административные государственные должности корпуса «Б», квалификационным требованиям к категориям административных государственных должностей групп категорий А, В, С, D, Е корпуса «Б», предусмотренных Типовыми квалификационными требованиями к категориям административных государственных должностей корпуса «Б», утвержденных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делам государственной службы и противодействию коррупции от 11 декабря 2014 года № 58 (зарегистрированный в Реестре государственной регистрации нормативно правовых актов под № 10080)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должностных инструкций государственных служащих Правилам по разработке и утверждению должностной инструкции административного государственного служащего, утвержденных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делам государственной службы от 12 августа 2011 года № 02-01-02/164 (зарегистрированный в Реестре государственной регистрации нормативно правовых актов под № 7157)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ограничений по созданию в государственных органах организаций политических партий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государственными служащими требований статьи 20-1 Закона и Кодекса чести государственных служащих Республики Казахстан (Правил служебной этики государственных служащих), 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3 мая 2005 года № 1567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государственного служащего с Кодексом чести в письменной форме, в трехдневный срок после поступления на государственную службу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текста Кодекса чести в зданиях государственных органов в местах, доступных для всеобщего обозрения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причин и условий, способствующих совершению коррупционных правонарушений в сфере  государственной службы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антикоррупционного законодательства на предмет наличия в личном деле письма органов национальной безопасности о результатах прохождения государственным служащим обязательной специальной проверки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мер финансового контроля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 борьбе с коррупцией»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государственными служащими ограничений по занятию должности, находящейся в непосредственной подчиненности должностям, занимаемыми их близкими родственниками (родителями, детьми, усыновителями, усыновленными, полнородными и неполнородными братьями и сестрами, дедушками, бабушками, внуками) или супругом (супругой), за исключением случаев, предусмотренных законодательством Республики Казахстан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государственными служащими ограничений по занятию иной деятельности, несовместимой с выполнением государственных функций, установленных антикоррупционным законодательством в сфере государственной службы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правонарушений, создающих условия для коррупции, установленных антикоррупционным законодательством в сфере государственной службы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коррупционных правонарушений, связанных с противоправным получением благ и преимуществ в сфере государственной службы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Повторные нарушения, выявленных по результатам предыдущих проверок и иных форм контроля в сфере государственной службы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наличию подтвержденных жалоб от физических и юридических лиц на нарушения требований законодательства о государственной службе, служебной этики и антикоррупционного законодательства в сфере государственной службы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0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одного и более подтвержденной жалобы физических и юридических лиц на нарушение требований законодательства о государственной службе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одного и более подтвержденной жалобы физических и юридических лиц на нарушение требований антикоррупционного законодательства в сфере государственной службы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0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одного и более подтвержденной жалобы физических и юридических лиц на нарушение требований норм Кодекса чести 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Результаты оценки эффективности деятельности государственных органов по направлению «управление персоналом»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0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Низкая степень эффективности деятельности государственных органов по результатам ежегодной оценки по направлению «управление персоналом»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результатам анализа сведений и отчетных данных, представляемых государственными органами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Качественное и своевременное предоставление отчетов по мониторингу состояния кадров государственной службы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Своевременное предоставление выписки из протокола заседания конкурсной комиссии с рекомендацией о зачислении в кадровый резерв корпуса "Б", личного дела участника конкурса и его письменного согласия быть зачисленным в кадровый резерв корпуса "Б"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течение десяти рабочих дней)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0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уведомление о принятом решении по результатам проведенного собеседования с лицами состоявших в кадровом резерве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течение пятнадцати рабочих дней со дня получения списка резервистов)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0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Качественное и своевременное предоставление отчета, прошедших переподготовку и повышение квалификации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(по итогам года до 10 января следующего года)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негативным публикациям в средствах массовой информации, интернет-ресурсах в отношении государственных органов, государственных служащих и иных лиц, уполномоченных на выполнение государственных функций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0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Обоснованные обвинения в средствах массовой информации и интернет - ресурсах в отношении государственных органов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Обоснованные обвинения в средствах массовой информации и интернет - ресурсах в отношении государственных служащих и иных лиц, уполномоченных на выполнение государственных функций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header.xml" Type="http://schemas.openxmlformats.org/officeDocument/2006/relationships/header" Id="rId2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