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3e4f4" w14:textId="a33e4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представления отчетности организатора игорного бизнеса, Правил осуществления сбора и анализа отчетности, представляемой организатором игорного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17 июля 2015 года № 249. Зарегистрирован в Министерстве юстиции Республики Казахстан 26 августа 2015 года № 11948.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статистике", </w:t>
      </w:r>
      <w:r>
        <w:rPr>
          <w:rFonts w:ascii="Times New Roman"/>
          <w:b w:val="false"/>
          <w:i w:val="false"/>
          <w:color w:val="000000"/>
          <w:sz w:val="28"/>
        </w:rPr>
        <w:t>подпунктом 7-2)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 Закона Республики Казахстан "Об игорном бизнесе"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культуры и спорта РК от 08.07.2021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форму представления отчетности организатора игорного бизнеса, согласно приложению 1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осуществления сбора и анализа отчетности, представляемой организатором игорного бизнеса,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культуры и спорта РК от 08.07.2021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(Канагатов И.Б.)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направить настоящий приказ на государственную регистрацию в Министерство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официального опубликования разместить настоящий приказ на интернет-ресурсе Министерства культуры и спорта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представить в Департамент юридической службы Министерства культуры и спорта Республики Казахстан сведения об исполнении мероприятий, предусмотренных настоящим пунктом, в течении десяти рабочих дней со дня исполнения мероприятий.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Мухамедиулы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2015 года № 249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индустрии туризма Министерства туризма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ресурсе: www.tsm.gov.kz</w:t>
      </w:r>
    </w:p>
    <w:bookmarkStart w:name="z16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представления отчетности организатора игорного бизнеса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и.о. Министра туризма и спорта РК от 26.12.2023 </w:t>
      </w:r>
      <w:r>
        <w:rPr>
          <w:rFonts w:ascii="Times New Roman"/>
          <w:b w:val="false"/>
          <w:i w:val="false"/>
          <w:color w:val="ff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их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________20__года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Индекс: 1-(ОИБ)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организаторы игорного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(юридические лица, осуществляющие организацию и проведение азартных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игр и (или) пари)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один раз в квартал,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позднее 10 числа месяца, следующего за отчетным периодом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вид игорного оборудования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игорного оборудования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или инвентарный номер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 игорного оборудования, игровых автоматов (новое/бывшее в употреблении)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тестирования оборудования (для новых игровых автоматов)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техническом состоянии видеозаписывающих систем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процент выигрыша, технологически заложенный в игровой автомат (для зала игровых автоматов)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изменении количества столов, замены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видеозаписывающей системы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тестирования оборудования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или инвентарный номер заменившего оборудования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игровых столов, указанных при получении лицензии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увеличении и сокращении количества игровых столов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касс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работников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уплаченной платы за пользование лицензией за отчетный период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обязательных резервов, фактически размещенных в банке (-ах) по состоянию на день предоставления отчетности*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бенефициарных собственниках в составе учредителей, руководителей организатора игорного бизнеса и о первых руководителях организатора игорного бизнеса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(область, город)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кассы (адреc)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регистрационном учете объектов налогообложения/касс (-ы) в органах государственных доходов, включая сведения о снятии с учета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*В целях подтверждения наличия обязательных резервов к отчетности прилагается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справка о наличии и движении денег по банковским счетам, открытым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заключении договора банковского вклада.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деятельности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Юридический адрес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 идентификационный номер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игорного заведения или товарного знака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Интернет-ресурс (при наличии)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Телефон: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выданной лицензии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 все сведения, указанные в настоящей отчетности,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прилагаемые документы соответствуют действительности и являются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Ответственное лицо __________________________________________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уполномоченное на подписание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bookmarkStart w:name="z16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Форма отчетности организатора игорного бизнеса</w:t>
      </w:r>
      <w:r>
        <w:br/>
      </w:r>
      <w:r>
        <w:rPr>
          <w:rFonts w:ascii="Times New Roman"/>
          <w:b/>
          <w:i w:val="false"/>
          <w:color w:val="000000"/>
        </w:rPr>
        <w:t>(Индекс: 1 - (ОИБ), периодичность: ежеквартальная)</w:t>
      </w:r>
    </w:p>
    <w:bookmarkEnd w:id="6"/>
    <w:bookmarkStart w:name="z17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7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представления отчетности организатора игорного бизнеса.</w:t>
      </w:r>
    </w:p>
    <w:bookmarkEnd w:id="8"/>
    <w:bookmarkStart w:name="z17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организаторами игорного бизнеса (юридическими лицами, осуществляющие организацию и проведение азартных игр и (или) пари) и представляется в Комитет индустрии туризма Министерства туризма и спорта Республики Казахстан.</w:t>
      </w:r>
    </w:p>
    <w:bookmarkEnd w:id="9"/>
    <w:bookmarkStart w:name="z17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заверяется подписью руководителя организатора игорного бизнеса, либо лица его заменяющего (с приложением копии приказа о возложении обязанностей), а также печатью организации (при наличии).</w:t>
      </w:r>
    </w:p>
    <w:bookmarkEnd w:id="10"/>
    <w:bookmarkStart w:name="z17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ежеквартально, не позднее 10 числа месяца, следующего за отчетным периодом.</w:t>
      </w:r>
    </w:p>
    <w:bookmarkEnd w:id="11"/>
    <w:bookmarkStart w:name="z17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2"/>
    <w:bookmarkStart w:name="z17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1 заполняется номер по порядку;</w:t>
      </w:r>
    </w:p>
    <w:bookmarkEnd w:id="13"/>
    <w:bookmarkStart w:name="z17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2 указывается наименование и вид игорного оборудования;</w:t>
      </w:r>
    </w:p>
    <w:bookmarkEnd w:id="14"/>
    <w:bookmarkStart w:name="z17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3 указывается количество игорного оборудования;</w:t>
      </w:r>
    </w:p>
    <w:bookmarkEnd w:id="15"/>
    <w:bookmarkStart w:name="z17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4 указывается серийный или инвентарный номер игорного оборудования;</w:t>
      </w:r>
    </w:p>
    <w:bookmarkEnd w:id="16"/>
    <w:bookmarkStart w:name="z18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5 указывается производитель игорного оборудования;</w:t>
      </w:r>
    </w:p>
    <w:bookmarkEnd w:id="17"/>
    <w:bookmarkStart w:name="z18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6 указывается техническое состояние игорного оборудования, игровых автоматов (новое/бывшее в употреблении);</w:t>
      </w:r>
    </w:p>
    <w:bookmarkEnd w:id="18"/>
    <w:bookmarkStart w:name="z18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7 указывается дата тестирования игорного оборудования (для новых игровых автоматов);</w:t>
      </w:r>
    </w:p>
    <w:bookmarkEnd w:id="19"/>
    <w:bookmarkStart w:name="z18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графах 8, 9, 10, 11 указываются сведения о техническом состоянии видеозаписывающих систем, в том числе наименование видеозаписывающей системы, количество, техническое состояние, дата тестирования оборудования;</w:t>
      </w:r>
    </w:p>
    <w:bookmarkEnd w:id="20"/>
    <w:bookmarkStart w:name="z18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12 указывается установленный процент выигрыша, технологически заложенный в игровой автомат (для зала игровых автоматов);</w:t>
      </w:r>
    </w:p>
    <w:bookmarkEnd w:id="21"/>
    <w:bookmarkStart w:name="z18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графах 13, 14, 15 указываются сведения об изменении количества столов, замены оборудования, в том числе серийный или инвентарный номер заменившего оборудования, количество игровых столов, указанных при получении лицензии, информация об увеличении и сокращении количества игровых столов;</w:t>
      </w:r>
    </w:p>
    <w:bookmarkEnd w:id="22"/>
    <w:bookmarkStart w:name="z18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графах 16, 17, 18 указываются сведения о количестве касс, в том числе населенный пункт (область, город), месторасположение кассы (адрес), сведения о регистрационном учете объектов налогообложения/касс (-ы) в органах государственных доходов, включая сведения о снятии с учета;</w:t>
      </w:r>
    </w:p>
    <w:bookmarkEnd w:id="23"/>
    <w:bookmarkStart w:name="z18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19 указываются сведения о численности работников;</w:t>
      </w:r>
    </w:p>
    <w:bookmarkEnd w:id="24"/>
    <w:bookmarkStart w:name="z18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20 указываются сведения о сумме уплаченной платы за пользование лицензией на занятие деятельностью в сфере игорного бизнеса за отчетный период;</w:t>
      </w:r>
    </w:p>
    <w:bookmarkEnd w:id="25"/>
    <w:bookmarkStart w:name="z18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графе 21 указываются сведения о сумме обеспечения на каждую лицензию в виде обязательных резервов, определяемых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игорном бизнесе", фактически размещенных в банке (-ах) по состоянию на день предоставления отчетности;</w:t>
      </w:r>
    </w:p>
    <w:bookmarkEnd w:id="26"/>
    <w:bookmarkStart w:name="z19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22 указываются сведения о бенефициарных собственниках в составе учредителей, руководителей организатора игорного бизнеса и о первых руководителях организатора игорного бизнеса.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2015 года № 249</w:t>
            </w:r>
          </w:p>
        </w:tc>
      </w:tr>
    </w:tbl>
    <w:bookmarkStart w:name="z2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сбора и анализа отчетности,</w:t>
      </w:r>
      <w:r>
        <w:br/>
      </w:r>
      <w:r>
        <w:rPr>
          <w:rFonts w:ascii="Times New Roman"/>
          <w:b/>
          <w:i w:val="false"/>
          <w:color w:val="000000"/>
        </w:rPr>
        <w:t>представляемой организатором игорного бизнеса</w:t>
      </w:r>
    </w:p>
    <w:bookmarkEnd w:id="28"/>
    <w:bookmarkStart w:name="z2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"Глава 1. Общие положения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Министра культуры и спорта РК от 08.07.2021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сбора и анализа отчетности, представляемой организатором игорного бизнеса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игорном бизнесе" и определяют порядок сбора и анализа отчетности, представляемой организаторами игорного бизнеса.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культуры и спорта РК от 26.04.2023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Целью сбора и анализа отчетности является осуществление мониторинга деятельности субъектов игорного бизнеса на соответствие законодательству об игорном бизнесе.</w:t>
      </w:r>
    </w:p>
    <w:bookmarkEnd w:id="31"/>
    <w:bookmarkStart w:name="z2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осуществления сбора отчетности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культуры и спорта РК от 08.07.2021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1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Сбор отчетности осуществляется посредством предоставления организаторами игорного бизнеса в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игорного бизнеса (далее – уполномоченный орган) отчетности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(далее – отчетность). </w:t>
      </w:r>
    </w:p>
    <w:bookmarkEnd w:id="33"/>
    <w:bookmarkStart w:name="z1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Отчетность представляется на бумажном носителе ежеквартально не позднее 10 числа месяца, следующего за отчетным периодом. </w:t>
      </w:r>
    </w:p>
    <w:bookmarkEnd w:id="34"/>
    <w:bookmarkStart w:name="z1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Отчетность содержит следующую информацию:</w:t>
      </w:r>
    </w:p>
    <w:bookmarkEnd w:id="35"/>
    <w:bookmarkStart w:name="z1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техническом состоянии игорного оборудования, игровых автоматов;</w:t>
      </w:r>
    </w:p>
    <w:bookmarkEnd w:id="36"/>
    <w:bookmarkStart w:name="z1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техническом состоянии видеозаписывающих систем;</w:t>
      </w:r>
    </w:p>
    <w:bookmarkEnd w:id="37"/>
    <w:bookmarkStart w:name="z1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об установленном проценте выигрыша, технологически заложенном в игровой автомат;</w:t>
      </w:r>
    </w:p>
    <w:bookmarkEnd w:id="38"/>
    <w:bookmarkStart w:name="z1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об изменении количества игровых столов, замены оборудования, указанного при получении лицензии;</w:t>
      </w:r>
    </w:p>
    <w:bookmarkEnd w:id="39"/>
    <w:bookmarkStart w:name="z1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списке касс и численности работников;</w:t>
      </w:r>
    </w:p>
    <w:bookmarkEnd w:id="40"/>
    <w:bookmarkStart w:name="z1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сумме уплаченной платы за пользование лицензией на занятие деятельностью в сфере игорного бизнеса;</w:t>
      </w:r>
    </w:p>
    <w:bookmarkEnd w:id="41"/>
    <w:bookmarkStart w:name="z16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сведения о сумме обеспечения на каждую лицензию в виде обязательных резервов, определяемых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игорном бизнесе";</w:t>
      </w:r>
    </w:p>
    <w:bookmarkEnd w:id="42"/>
    <w:bookmarkStart w:name="z1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сведения о бенефициарных собственниках в составе учредителей, руководителей организатора игорного бизнеса и о первых руководителях организатора игорного бизнеса.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культуры и спорта РК от 26.04.2023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Отчетность заверяется подписью руководителя организатора игорного бизнеса, либо лица его заменяющего (с приложением копии приказа о возложении обязанностей), а также печатью организации (при наличии) и направляется в уполномоченный орган. </w:t>
      </w:r>
    </w:p>
    <w:bookmarkEnd w:id="44"/>
    <w:bookmarkStart w:name="z1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Представленная отчетность регистрируется в уполномоченном органе и рассматривается соответствующим его структурным подразделением.</w:t>
      </w:r>
    </w:p>
    <w:bookmarkEnd w:id="45"/>
    <w:bookmarkStart w:name="z2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осуществления анализа отчетности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приказа Министра культуры и спорта РК от 08.07.2021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1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Уполномоченный орган на основании представленной отчетности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анализ на наличие и полноту всех необходимых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представленной отчетности включает в себя: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рассмотрение на предмет соответствия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предъявляемым к организаторам игорного бизнеса;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сведений о не предоставлении или не полном предоставлении отчетности.</w:t>
      </w:r>
    </w:p>
    <w:bookmarkStart w:name="z1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анализа используются при подготовке предложений по совершенствованию государственной политики в области игорного бизнеса и проведении профилактического контроля без посещения субъекта (объекта) контроля.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и.о. Министра туризма и спорта РК от 26.12.2023 </w:t>
      </w:r>
      <w:r>
        <w:rPr>
          <w:rFonts w:ascii="Times New Roman"/>
          <w:b w:val="false"/>
          <w:i w:val="false"/>
          <w:color w:val="00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путем сбора, обобщения и анализа отчетности формирует сведения о соблюдении квалификационных требований организаторами игорного бизнеса.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