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5560" w14:textId="2a55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29 июля 2015 года № 632. Зарегистрирован в Министерстве юстиции Республики Казахстан 28 августа 2015 года № 11973.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(зарегистрированный в Реестре государственной регистрации нормативных правовых актов под № 5946, опубликованный в Собрании актов центральных исполнительных и иных центральных государственных органов Республики Казахстан № 7, 2010 года),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Методике</w:t>
      </w:r>
      <w:r>
        <w:rPr>
          <w:rFonts w:ascii="Times New Roman"/>
          <w:b w:val="false"/>
          <w:i w:val="false"/>
          <w:color w:val="000000"/>
          <w:sz w:val="28"/>
        </w:rPr>
        <w:t xml:space="preserve"> формирования тарифов и планирования затрат на</w:t>
      </w:r>
    </w:p>
    <w:bookmarkEnd w:id="2"/>
    <w:p>
      <w:pPr>
        <w:spacing w:after="0"/>
        <w:ind w:left="0"/>
        <w:jc w:val="both"/>
      </w:pPr>
      <w:r>
        <w:rPr>
          <w:rFonts w:ascii="Times New Roman"/>
          <w:b w:val="false"/>
          <w:i w:val="false"/>
          <w:color w:val="000000"/>
          <w:sz w:val="28"/>
        </w:rPr>
        <w:t>
      медицинские услуги, оказываемые в рамках гарантированного</w:t>
      </w:r>
    </w:p>
    <w:p>
      <w:pPr>
        <w:spacing w:after="0"/>
        <w:ind w:left="0"/>
        <w:jc w:val="both"/>
      </w:pPr>
      <w:r>
        <w:rPr>
          <w:rFonts w:ascii="Times New Roman"/>
          <w:b w:val="false"/>
          <w:i w:val="false"/>
          <w:color w:val="000000"/>
          <w:sz w:val="28"/>
        </w:rPr>
        <w:t>
      объема бесплатной медицинской помощи, утвержденной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3"/>
    <w:p>
      <w:pPr>
        <w:spacing w:after="0"/>
        <w:ind w:left="0"/>
        <w:jc w:val="both"/>
      </w:pPr>
      <w:r>
        <w:rPr>
          <w:rFonts w:ascii="Times New Roman"/>
          <w:b w:val="false"/>
          <w:i w:val="false"/>
          <w:color w:val="000000"/>
          <w:sz w:val="28"/>
        </w:rPr>
        <w:t>
      1) комплексный подушевой норматив на оказание АПП (далее – комплексный подушевой норматив АПП) – стоимость комплекса амбулаторно-поликлинических услуг ГОБМП на одного прикрепленного человека, зарегистрированного в портале "Регистр прикрепленного населения" (далее – портал "РПН") к субъекту здравоохранения, оказывающему ПМСП, состоящая из гарантированного компонента комплексного подушевого норматива АПП и стимулирующего компонента комплексного подушевого норматива;</w:t>
      </w:r>
    </w:p>
    <w:p>
      <w:pPr>
        <w:spacing w:after="0"/>
        <w:ind w:left="0"/>
        <w:jc w:val="both"/>
      </w:pPr>
      <w:r>
        <w:rPr>
          <w:rFonts w:ascii="Times New Roman"/>
          <w:b w:val="false"/>
          <w:i w:val="false"/>
          <w:color w:val="000000"/>
          <w:sz w:val="28"/>
        </w:rPr>
        <w:t xml:space="preserve">
      2) гарантированный компонент комплексного подушевого норматива АПП – расчетная стоимость комплекса амбулаторно-поликлинических услуг ГОБМП в формах ПМСП и КДП по определяемому уполномоченным органом перечню услуг с учетом поправочных коэффициентов; </w:t>
      </w:r>
    </w:p>
    <w:p>
      <w:pPr>
        <w:spacing w:after="0"/>
        <w:ind w:left="0"/>
        <w:jc w:val="both"/>
      </w:pPr>
      <w:r>
        <w:rPr>
          <w:rFonts w:ascii="Times New Roman"/>
          <w:b w:val="false"/>
          <w:i w:val="false"/>
          <w:color w:val="000000"/>
          <w:sz w:val="28"/>
        </w:rPr>
        <w:t>
      3) базовый комплексный подушевой норматив АПП – расчетная стоимость комплекса амбулаторно-поликлинических услуг ГОБМП в формах ПМСП и КДП по определяемому уполномоченным органом перечню услуг без учета поправочных коэффициентов;</w:t>
      </w:r>
    </w:p>
    <w:p>
      <w:pPr>
        <w:spacing w:after="0"/>
        <w:ind w:left="0"/>
        <w:jc w:val="both"/>
      </w:pPr>
      <w:r>
        <w:rPr>
          <w:rFonts w:ascii="Times New Roman"/>
          <w:b w:val="false"/>
          <w:i w:val="false"/>
          <w:color w:val="000000"/>
          <w:sz w:val="28"/>
        </w:rPr>
        <w:t xml:space="preserve">
      4) комплексный подушевой норматив на оказание услуг ГОБМП сельскому населению (далее – комплексный подушевой норматив на сельское население) – стоимость комплекса услуг ГОБМП по определяемому уполномоченным органом перечню форм медицинской помощи в расчете на одного сельского жителя, зарегистрированного в портале "РПН", к субъекту здравоохранения районного значения или села,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w:t>
      </w:r>
    </w:p>
    <w:p>
      <w:pPr>
        <w:spacing w:after="0"/>
        <w:ind w:left="0"/>
        <w:jc w:val="both"/>
      </w:pPr>
      <w:r>
        <w:rPr>
          <w:rFonts w:ascii="Times New Roman"/>
          <w:b w:val="false"/>
          <w:i w:val="false"/>
          <w:color w:val="000000"/>
          <w:sz w:val="28"/>
        </w:rPr>
        <w:t>
      5) гарантированный компонент комплексного подушевого норматива на сельское население – расчетная стоимость комплекса услуг ГОБМП, оказываемых сельскому населению, по определяемому уполномоченным органом перечню форм медицинской помощи с учетом поправочных коэффициентов;</w:t>
      </w:r>
    </w:p>
    <w:p>
      <w:pPr>
        <w:spacing w:after="0"/>
        <w:ind w:left="0"/>
        <w:jc w:val="both"/>
      </w:pPr>
      <w:r>
        <w:rPr>
          <w:rFonts w:ascii="Times New Roman"/>
          <w:b w:val="false"/>
          <w:i w:val="false"/>
          <w:color w:val="000000"/>
          <w:sz w:val="28"/>
        </w:rPr>
        <w:t>
      6) стоимость базовой ставки – расчетная стоимость одной единицы услуги ГОБМП;</w:t>
      </w:r>
    </w:p>
    <w:p>
      <w:pPr>
        <w:spacing w:after="0"/>
        <w:ind w:left="0"/>
        <w:jc w:val="both"/>
      </w:pPr>
      <w:r>
        <w:rPr>
          <w:rFonts w:ascii="Times New Roman"/>
          <w:b w:val="false"/>
          <w:i w:val="false"/>
          <w:color w:val="000000"/>
          <w:sz w:val="28"/>
        </w:rPr>
        <w:t>
      7) администратор бюджетной программы (далее – администратор) – Министерство здравоохранения и социального развития Республики Казахстан (далее – Министерство) или местные органы государственного управления здравоохранением областей, городов Астаны и Алматы (далее – УЗ);</w:t>
      </w:r>
    </w:p>
    <w:p>
      <w:pPr>
        <w:spacing w:after="0"/>
        <w:ind w:left="0"/>
        <w:jc w:val="both"/>
      </w:pPr>
      <w:r>
        <w:rPr>
          <w:rFonts w:ascii="Times New Roman"/>
          <w:b w:val="false"/>
          <w:i w:val="false"/>
          <w:color w:val="000000"/>
          <w:sz w:val="28"/>
        </w:rPr>
        <w:t>
      8)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pPr>
        <w:spacing w:after="0"/>
        <w:ind w:left="0"/>
        <w:jc w:val="both"/>
      </w:pPr>
      <w:r>
        <w:rPr>
          <w:rFonts w:ascii="Times New Roman"/>
          <w:b w:val="false"/>
          <w:i w:val="false"/>
          <w:color w:val="000000"/>
          <w:sz w:val="28"/>
        </w:rPr>
        <w:t>
      9)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pPr>
        <w:spacing w:after="0"/>
        <w:ind w:left="0"/>
        <w:jc w:val="both"/>
      </w:pPr>
      <w:r>
        <w:rPr>
          <w:rFonts w:ascii="Times New Roman"/>
          <w:b w:val="false"/>
          <w:i w:val="false"/>
          <w:color w:val="000000"/>
          <w:sz w:val="28"/>
        </w:rPr>
        <w:t xml:space="preserve">
      10)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p>
      <w:pPr>
        <w:spacing w:after="0"/>
        <w:ind w:left="0"/>
        <w:jc w:val="both"/>
      </w:pPr>
      <w:r>
        <w:rPr>
          <w:rFonts w:ascii="Times New Roman"/>
          <w:b w:val="false"/>
          <w:i w:val="false"/>
          <w:color w:val="000000"/>
          <w:sz w:val="28"/>
        </w:rPr>
        <w:t xml:space="preserve">
      11) комплексный тариф – стоимость комплекса медицинских услуг ГОБМП в расчете на одного онкологического больного, зарегистрированного в электронном регистре онкологических больных, за исключением онкогематологических больных (кроме больных лимфомой), утвержденная администратором; </w:t>
      </w:r>
    </w:p>
    <w:p>
      <w:pPr>
        <w:spacing w:after="0"/>
        <w:ind w:left="0"/>
        <w:jc w:val="both"/>
      </w:pPr>
      <w:r>
        <w:rPr>
          <w:rFonts w:ascii="Times New Roman"/>
          <w:b w:val="false"/>
          <w:i w:val="false"/>
          <w:color w:val="000000"/>
          <w:sz w:val="28"/>
        </w:rPr>
        <w:t>
      12) клинико-затратные группы (далее – КЗГ) – клинически однородные группы заболеваний, сходные по затратам на их лечение;</w:t>
      </w:r>
    </w:p>
    <w:p>
      <w:pPr>
        <w:spacing w:after="0"/>
        <w:ind w:left="0"/>
        <w:jc w:val="both"/>
      </w:pPr>
      <w:r>
        <w:rPr>
          <w:rFonts w:ascii="Times New Roman"/>
          <w:b w:val="false"/>
          <w:i w:val="false"/>
          <w:color w:val="000000"/>
          <w:sz w:val="28"/>
        </w:rPr>
        <w:t>
      13)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и прочих товаров и услуг;</w:t>
      </w:r>
    </w:p>
    <w:p>
      <w:pPr>
        <w:spacing w:after="0"/>
        <w:ind w:left="0"/>
        <w:jc w:val="both"/>
      </w:pPr>
      <w:r>
        <w:rPr>
          <w:rFonts w:ascii="Times New Roman"/>
          <w:b w:val="false"/>
          <w:i w:val="false"/>
          <w:color w:val="000000"/>
          <w:sz w:val="28"/>
        </w:rPr>
        <w:t xml:space="preserve">
      14) медико-экономический тариф – средняя стоимость за один пролеченный случай, формируемая на основе протоколов диагностики и лечения; </w:t>
      </w:r>
    </w:p>
    <w:p>
      <w:pPr>
        <w:spacing w:after="0"/>
        <w:ind w:left="0"/>
        <w:jc w:val="both"/>
      </w:pPr>
      <w:r>
        <w:rPr>
          <w:rFonts w:ascii="Times New Roman"/>
          <w:b w:val="false"/>
          <w:i w:val="false"/>
          <w:color w:val="000000"/>
          <w:sz w:val="28"/>
        </w:rPr>
        <w:t>
      15) подушевой норматив на оказание ПМСП – норма затрат в расчете на одного человека для обеспечения ГОБМП в форме ПМСП;</w:t>
      </w:r>
    </w:p>
    <w:p>
      <w:pPr>
        <w:spacing w:after="0"/>
        <w:ind w:left="0"/>
        <w:jc w:val="both"/>
      </w:pPr>
      <w:r>
        <w:rPr>
          <w:rFonts w:ascii="Times New Roman"/>
          <w:b w:val="false"/>
          <w:i w:val="false"/>
          <w:color w:val="000000"/>
          <w:sz w:val="28"/>
        </w:rPr>
        <w:t>
      16)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 данные которой используются при размещении ГОБМП и его оплате;</w:t>
      </w:r>
    </w:p>
    <w:p>
      <w:pPr>
        <w:spacing w:after="0"/>
        <w:ind w:left="0"/>
        <w:jc w:val="both"/>
      </w:pPr>
      <w:r>
        <w:rPr>
          <w:rFonts w:ascii="Times New Roman"/>
          <w:b w:val="false"/>
          <w:i w:val="false"/>
          <w:color w:val="000000"/>
          <w:sz w:val="28"/>
        </w:rPr>
        <w:t xml:space="preserve">
      17) тарификатор – утвержденный перечень медицинских услуг с указанием их стоимости согласно </w:t>
      </w:r>
      <w:r>
        <w:rPr>
          <w:rFonts w:ascii="Times New Roman"/>
          <w:b w:val="false"/>
          <w:i w:val="false"/>
          <w:color w:val="000000"/>
          <w:sz w:val="28"/>
        </w:rPr>
        <w:t xml:space="preserve"> пункту 5</w:t>
      </w:r>
      <w:r>
        <w:rPr>
          <w:rFonts w:ascii="Times New Roman"/>
          <w:b w:val="false"/>
          <w:i w:val="false"/>
          <w:color w:val="000000"/>
          <w:sz w:val="28"/>
        </w:rPr>
        <w:t xml:space="preserve"> статьи 35 Кодекса Республики Казахстан от 18 сентября 2009 года "О здоровье народа и системе здравоохранения" (далее – Кодекс о здоровье);</w:t>
      </w:r>
    </w:p>
    <w:p>
      <w:pPr>
        <w:spacing w:after="0"/>
        <w:ind w:left="0"/>
        <w:jc w:val="both"/>
      </w:pPr>
      <w:r>
        <w:rPr>
          <w:rFonts w:ascii="Times New Roman"/>
          <w:b w:val="false"/>
          <w:i w:val="false"/>
          <w:color w:val="000000"/>
          <w:sz w:val="28"/>
        </w:rPr>
        <w:t>
      18) койко-день – день, проведенный больным в условиях стационара;</w:t>
      </w:r>
    </w:p>
    <w:p>
      <w:pPr>
        <w:spacing w:after="0"/>
        <w:ind w:left="0"/>
        <w:jc w:val="both"/>
      </w:pPr>
      <w:r>
        <w:rPr>
          <w:rFonts w:ascii="Times New Roman"/>
          <w:b w:val="false"/>
          <w:i w:val="false"/>
          <w:color w:val="000000"/>
          <w:sz w:val="28"/>
        </w:rPr>
        <w:t>
      19) тариф услуги ГОБМП (далее – тариф) – стоимость единицы или комплекса услуг ГОБМП;</w:t>
      </w:r>
    </w:p>
    <w:p>
      <w:pPr>
        <w:spacing w:after="0"/>
        <w:ind w:left="0"/>
        <w:jc w:val="both"/>
      </w:pPr>
      <w:r>
        <w:rPr>
          <w:rFonts w:ascii="Times New Roman"/>
          <w:b w:val="false"/>
          <w:i w:val="false"/>
          <w:color w:val="000000"/>
          <w:sz w:val="28"/>
        </w:rPr>
        <w:t>
      20) поправочные коэффициенты – коэффициенты, применяемые администратором бюджетных программ с целью корректировки тарифа в соответствии с настоящей Методикой;</w:t>
      </w:r>
    </w:p>
    <w:p>
      <w:pPr>
        <w:spacing w:after="0"/>
        <w:ind w:left="0"/>
        <w:jc w:val="both"/>
      </w:pPr>
      <w:r>
        <w:rPr>
          <w:rFonts w:ascii="Times New Roman"/>
          <w:b w:val="false"/>
          <w:i w:val="false"/>
          <w:color w:val="000000"/>
          <w:sz w:val="28"/>
        </w:rPr>
        <w:t>
      21) коэффициент затратоемкости – коэффициент, определяющий степень затратности КЗГ к стоимости базовой ставки.";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Возмещение затрат организациям здравоохранения, оказывающим ГОБМП, за счет бюджетных средств осуществляется в порядке, определенном на основании подпункта 81)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о здоровье.";</w:t>
      </w:r>
    </w:p>
    <w:bookmarkStart w:name="z7" w:id="4"/>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 xml:space="preserve"> пункта 4</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"8) на прочие расходы, в том числе услуги связи, включая интернет, командировочные расходы, проведение текущего ремонта, аренда помещения, приобретение канцелярских, хозяйственных и горюче-смазочных товаров, прочих товаров и услуг, сервисное обслуживание, оплата банковских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Тарифы на медицинские услуги ГОБМП не включают:</w:t>
      </w:r>
    </w:p>
    <w:p>
      <w:pPr>
        <w:spacing w:after="0"/>
        <w:ind w:left="0"/>
        <w:jc w:val="both"/>
      </w:pPr>
      <w:r>
        <w:rPr>
          <w:rFonts w:ascii="Times New Roman"/>
          <w:b w:val="false"/>
          <w:i w:val="false"/>
          <w:color w:val="000000"/>
          <w:sz w:val="28"/>
        </w:rPr>
        <w:t>
      1) капитальные расходы, кроме:</w:t>
      </w:r>
    </w:p>
    <w:p>
      <w:pPr>
        <w:spacing w:after="0"/>
        <w:ind w:left="0"/>
        <w:jc w:val="both"/>
      </w:pPr>
      <w:r>
        <w:rPr>
          <w:rFonts w:ascii="Times New Roman"/>
          <w:b w:val="false"/>
          <w:i w:val="false"/>
          <w:color w:val="000000"/>
          <w:sz w:val="28"/>
        </w:rPr>
        <w:t>
      расходов на обновление основных средств в рамках реализации пилотного проекта дочерним организациям акционерного общества (далее – АО) "Национальный медицинский холдинг", оказывающим ГОБМП;</w:t>
      </w:r>
    </w:p>
    <w:p>
      <w:pPr>
        <w:spacing w:after="0"/>
        <w:ind w:left="0"/>
        <w:jc w:val="both"/>
      </w:pPr>
      <w:r>
        <w:rPr>
          <w:rFonts w:ascii="Times New Roman"/>
          <w:b w:val="false"/>
          <w:i w:val="false"/>
          <w:color w:val="000000"/>
          <w:sz w:val="28"/>
        </w:rPr>
        <w:t xml:space="preserve">
      расходов на выплату лизинговых платежей на условиях финансового лизинга организациям, оказывающим ГОБМП, в организационно-правовой форме государственных предприятий, акционерных обществ и хозяйственных товариществ, сто процентов голосующих акций (долей участия в уставном капитале) которых принадлежит государству, возмещаемых в порядке, определенном на основании подпункта 81)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о здоровье; </w:t>
      </w:r>
    </w:p>
    <w:p>
      <w:pPr>
        <w:spacing w:after="0"/>
        <w:ind w:left="0"/>
        <w:jc w:val="both"/>
      </w:pPr>
      <w:r>
        <w:rPr>
          <w:rFonts w:ascii="Times New Roman"/>
          <w:b w:val="false"/>
          <w:i w:val="false"/>
          <w:color w:val="000000"/>
          <w:sz w:val="28"/>
        </w:rPr>
        <w:t>
      расходов на приобретение оборудования стоимостью менее пяти миллионов тенге, включенных в тариф. При этом организации, оказывающие ГОБМП, данные расходы осуществляют в случае отсутствия кредиторской задолженности в текущем финансовом году за счет средств сложившейся экономии, но не более 1% от суммы договора на оказание ГОБМП;</w:t>
      </w:r>
    </w:p>
    <w:p>
      <w:pPr>
        <w:spacing w:after="0"/>
        <w:ind w:left="0"/>
        <w:jc w:val="both"/>
      </w:pPr>
      <w:r>
        <w:rPr>
          <w:rFonts w:ascii="Times New Roman"/>
          <w:b w:val="false"/>
          <w:i w:val="false"/>
          <w:color w:val="000000"/>
          <w:sz w:val="28"/>
        </w:rPr>
        <w:t>
      2) рентабельность и прибыль.</w:t>
      </w:r>
    </w:p>
    <w:p>
      <w:pPr>
        <w:spacing w:after="0"/>
        <w:ind w:left="0"/>
        <w:jc w:val="both"/>
      </w:pPr>
      <w:r>
        <w:rPr>
          <w:rFonts w:ascii="Times New Roman"/>
          <w:b w:val="false"/>
          <w:i w:val="false"/>
          <w:color w:val="000000"/>
          <w:sz w:val="28"/>
        </w:rPr>
        <w:t>
      В случае превышения в организации, оказывающей ГОБМП, в организационно-правовой форме государственного предприятия расходов на оплату коммунальных услуг над расходами, предусмотренными в структуре тарифа на медицинские услуги ГОБМП, возмещение данных расходов осуществляется по решению местного представительного органа из средств местного бюджета областей, города республиканского значения и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"Параграф 1. Амбулаторно-поликлиническая помощь</w:t>
      </w:r>
    </w:p>
    <w:p>
      <w:pPr>
        <w:spacing w:after="0"/>
        <w:ind w:left="0"/>
        <w:jc w:val="both"/>
      </w:pPr>
      <w:r>
        <w:rPr>
          <w:rFonts w:ascii="Times New Roman"/>
          <w:b w:val="false"/>
          <w:i w:val="false"/>
          <w:color w:val="000000"/>
          <w:sz w:val="28"/>
        </w:rPr>
        <w:t>
      6. Расчет тарифов по АПП осуществляется:</w:t>
      </w:r>
    </w:p>
    <w:p>
      <w:pPr>
        <w:spacing w:after="0"/>
        <w:ind w:left="0"/>
        <w:jc w:val="both"/>
      </w:pPr>
      <w:r>
        <w:rPr>
          <w:rFonts w:ascii="Times New Roman"/>
          <w:b w:val="false"/>
          <w:i w:val="false"/>
          <w:color w:val="000000"/>
          <w:sz w:val="28"/>
        </w:rPr>
        <w:t>
      за оказание АПП по комплексному подушевому нормативу АПП в соответствии с пунктами 7-15 настоящей Методики;</w:t>
      </w:r>
    </w:p>
    <w:p>
      <w:pPr>
        <w:spacing w:after="0"/>
        <w:ind w:left="0"/>
        <w:jc w:val="both"/>
      </w:pPr>
      <w:r>
        <w:rPr>
          <w:rFonts w:ascii="Times New Roman"/>
          <w:b w:val="false"/>
          <w:i w:val="false"/>
          <w:color w:val="000000"/>
          <w:sz w:val="28"/>
        </w:rPr>
        <w:t>
      за оказание ПМСП по подушевому нормативу на оказание ПМСП в соответствии с пунктом 16 настоящей Методики;</w:t>
      </w:r>
    </w:p>
    <w:p>
      <w:pPr>
        <w:spacing w:after="0"/>
        <w:ind w:left="0"/>
        <w:jc w:val="both"/>
      </w:pPr>
      <w:r>
        <w:rPr>
          <w:rFonts w:ascii="Times New Roman"/>
          <w:b w:val="false"/>
          <w:i w:val="false"/>
          <w:color w:val="000000"/>
          <w:sz w:val="28"/>
        </w:rPr>
        <w:t>
      за оказание консультативно-диагностических услуг в соответствии с пунктами 17-21 настоящей Методики.</w:t>
      </w:r>
    </w:p>
    <w:p>
      <w:pPr>
        <w:spacing w:after="0"/>
        <w:ind w:left="0"/>
        <w:jc w:val="both"/>
      </w:pPr>
      <w:r>
        <w:rPr>
          <w:rFonts w:ascii="Times New Roman"/>
          <w:b w:val="false"/>
          <w:i w:val="false"/>
          <w:color w:val="000000"/>
          <w:sz w:val="28"/>
        </w:rPr>
        <w:t>
      7. Субъектам здравоохранения городского значения, оказывающим ПМСП и имеющим прикрепленное население (далее – субъект ПМСП), зарегистрированное в портале "РПН", тарифом для определения объема финансирования является комплексный подушевой норматив АПП.</w:t>
      </w:r>
    </w:p>
    <w:p>
      <w:pPr>
        <w:spacing w:after="0"/>
        <w:ind w:left="0"/>
        <w:jc w:val="both"/>
      </w:pPr>
      <w:r>
        <w:rPr>
          <w:rFonts w:ascii="Times New Roman"/>
          <w:b w:val="false"/>
          <w:i w:val="false"/>
          <w:color w:val="000000"/>
          <w:sz w:val="28"/>
        </w:rPr>
        <w:t>
      8. Комплексный подушевой норматив АПП определяется из расчета на одного прикрепленного человека, зарегистрированного в портале "РПН", в месяц и состоит из гарантированного компонента комплексного подушевого норматива АПП и стимулирующего компонента комплексного подушевого норматива.</w:t>
      </w:r>
    </w:p>
    <w:p>
      <w:pPr>
        <w:spacing w:after="0"/>
        <w:ind w:left="0"/>
        <w:jc w:val="both"/>
      </w:pPr>
      <w:r>
        <w:rPr>
          <w:rFonts w:ascii="Times New Roman"/>
          <w:b w:val="false"/>
          <w:i w:val="false"/>
          <w:color w:val="000000"/>
          <w:sz w:val="28"/>
        </w:rPr>
        <w:t xml:space="preserve">
      9. Гарантированный компонент комплексного подушевого норматива АПП включает затраты, связанные с деятельностью субъекта ПМСП по оказанию комплекса амбулаторно-поликлинических услуг ГОБМП по перечню услуг, определенному в соответствии с подпунктом 81)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о здоровье, согласно пунктам 4 и 5 настоящей Методики.</w:t>
      </w:r>
    </w:p>
    <w:p>
      <w:pPr>
        <w:spacing w:after="0"/>
        <w:ind w:left="0"/>
        <w:jc w:val="both"/>
      </w:pPr>
      <w:r>
        <w:rPr>
          <w:rFonts w:ascii="Times New Roman"/>
          <w:b w:val="false"/>
          <w:i w:val="false"/>
          <w:color w:val="000000"/>
          <w:sz w:val="28"/>
        </w:rPr>
        <w:t>
      10. Стимулирующий компонент комплексного подушевого норматива включает затраты на:</w:t>
      </w:r>
    </w:p>
    <w:p>
      <w:pPr>
        <w:spacing w:after="0"/>
        <w:ind w:left="0"/>
        <w:jc w:val="both"/>
      </w:pPr>
      <w:r>
        <w:rPr>
          <w:rFonts w:ascii="Times New Roman"/>
          <w:b w:val="false"/>
          <w:i w:val="false"/>
          <w:color w:val="000000"/>
          <w:sz w:val="28"/>
        </w:rPr>
        <w:t>
      1) материальное поощрение работников субъекта ПМСП за достигнутые индикаторы конечного результата;</w:t>
      </w:r>
    </w:p>
    <w:p>
      <w:pPr>
        <w:spacing w:after="0"/>
        <w:ind w:left="0"/>
        <w:jc w:val="both"/>
      </w:pPr>
      <w:r>
        <w:rPr>
          <w:rFonts w:ascii="Times New Roman"/>
          <w:b w:val="false"/>
          <w:i w:val="false"/>
          <w:color w:val="000000"/>
          <w:sz w:val="28"/>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p>
      <w:pPr>
        <w:spacing w:after="0"/>
        <w:ind w:left="0"/>
        <w:jc w:val="both"/>
      </w:pPr>
      <w:r>
        <w:rPr>
          <w:rFonts w:ascii="Times New Roman"/>
          <w:b w:val="false"/>
          <w:i w:val="false"/>
          <w:color w:val="000000"/>
          <w:sz w:val="28"/>
        </w:rPr>
        <w:t xml:space="preserve">
      11. Перечень работников субъекта ПМСП, на которых распространяется стимулирование за счет средств СКПН, определяется в соответствии с </w:t>
      </w:r>
      <w:r>
        <w:rPr>
          <w:rFonts w:ascii="Times New Roman"/>
          <w:b w:val="false"/>
          <w:i w:val="false"/>
          <w:color w:val="000000"/>
          <w:sz w:val="28"/>
        </w:rPr>
        <w:t xml:space="preserve"> Приказом № 429</w:t>
      </w:r>
      <w:r>
        <w:rPr>
          <w:rFonts w:ascii="Times New Roman"/>
          <w:b w:val="false"/>
          <w:i w:val="false"/>
          <w:color w:val="000000"/>
          <w:sz w:val="28"/>
        </w:rPr>
        <w:t>.</w:t>
      </w:r>
    </w:p>
    <w:p>
      <w:pPr>
        <w:spacing w:after="0"/>
        <w:ind w:left="0"/>
        <w:jc w:val="both"/>
      </w:pPr>
      <w:r>
        <w:rPr>
          <w:rFonts w:ascii="Times New Roman"/>
          <w:b w:val="false"/>
          <w:i w:val="false"/>
          <w:color w:val="000000"/>
          <w:sz w:val="28"/>
        </w:rPr>
        <w:t>
      12. Размер суммы СКПН для субъекта ПМСП зависит от уровня достижения целевого значения по индикаторам конечного результата деятельности субъекта ПМСП (далее – индикатор конечного результата) и рассчитывается в порядке, определяемом пунктом 15 настоящей Методики.</w:t>
      </w:r>
    </w:p>
    <w:p>
      <w:pPr>
        <w:spacing w:after="0"/>
        <w:ind w:left="0"/>
        <w:jc w:val="both"/>
      </w:pPr>
      <w:r>
        <w:rPr>
          <w:rFonts w:ascii="Times New Roman"/>
          <w:b w:val="false"/>
          <w:i w:val="false"/>
          <w:color w:val="000000"/>
          <w:sz w:val="28"/>
        </w:rPr>
        <w:t>
      13. Расчет комплексного подушевого норматива АПП на одного жителя в месяц для субъектов ПМСП осуществляется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КПН</w:t>
      </w:r>
      <w:r>
        <w:rPr>
          <w:rFonts w:ascii="Times New Roman"/>
          <w:b w:val="false"/>
          <w:i w:val="false"/>
          <w:color w:val="000000"/>
          <w:vertAlign w:val="subscript"/>
        </w:rPr>
        <w:t>гарАПП</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ПМСП, в месяц;</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который рассчитывается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ПМСП</w:t>
      </w: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V</w:t>
      </w:r>
      <w:r>
        <w:rPr>
          <w:rFonts w:ascii="Times New Roman"/>
          <w:b w:val="false"/>
          <w:i w:val="false"/>
          <w:color w:val="000000"/>
          <w:vertAlign w:val="subscript"/>
        </w:rPr>
        <w:t>экол_пмсп</w:t>
      </w:r>
      <w:r>
        <w:rPr>
          <w:rFonts w:ascii="Times New Roman"/>
          <w:b w:val="false"/>
          <w:i w:val="false"/>
          <w:color w:val="000000"/>
          <w:sz w:val="28"/>
        </w:rPr>
        <w:t xml:space="preserve"> / Ч</w:t>
      </w:r>
      <w:r>
        <w:rPr>
          <w:rFonts w:ascii="Times New Roman"/>
          <w:b w:val="false"/>
          <w:i w:val="false"/>
          <w:color w:val="000000"/>
          <w:vertAlign w:val="subscript"/>
        </w:rPr>
        <w:t>ПМСП</w:t>
      </w:r>
      <w:r>
        <w:rPr>
          <w:rFonts w:ascii="Times New Roman"/>
          <w:b w:val="false"/>
          <w:i w:val="false"/>
          <w:color w:val="000000"/>
          <w:sz w:val="28"/>
        </w:rPr>
        <w:t xml:space="preserve"> / m, где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ПМСП</w:t>
      </w:r>
      <w:r>
        <w:rPr>
          <w:rFonts w:ascii="Times New Roman"/>
          <w:b w:val="false"/>
          <w:i w:val="false"/>
          <w:color w:val="000000"/>
          <w:sz w:val="28"/>
        </w:rPr>
        <w:t xml:space="preserve"> </w:t>
      </w:r>
      <w:r>
        <w:rPr>
          <w:rFonts w:ascii="Times New Roman"/>
          <w:b w:val="false"/>
          <w:i w:val="false"/>
          <w:color w:val="000000"/>
          <w:vertAlign w:val="subscript"/>
        </w:rPr>
        <w:t>k/n</w:t>
      </w:r>
      <w:r>
        <w:rPr>
          <w:rFonts w:ascii="Times New Roman"/>
          <w:b w:val="false"/>
          <w:i w:val="false"/>
          <w:color w:val="000000"/>
          <w:sz w:val="28"/>
        </w:rPr>
        <w:t xml:space="preserve"> х ПВК</w:t>
      </w:r>
      <w:r>
        <w:rPr>
          <w:rFonts w:ascii="Times New Roman"/>
          <w:b w:val="false"/>
          <w:i w:val="false"/>
          <w:color w:val="000000"/>
          <w:vertAlign w:val="subscript"/>
        </w:rPr>
        <w:t>ПМСП(n</w:t>
      </w:r>
      <w:r>
        <w:rPr>
          <w:rFonts w:ascii="Times New Roman"/>
          <w:b w:val="false"/>
          <w:i w:val="false"/>
          <w:color w:val="000000"/>
          <w:vertAlign w:val="subscript"/>
        </w:rPr>
        <w:t>)</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ПМСП </w:t>
      </w:r>
      <w:r>
        <w:rPr>
          <w:rFonts w:ascii="Times New Roman"/>
          <w:b w:val="false"/>
          <w:i w:val="false"/>
          <w:color w:val="000000"/>
          <w:vertAlign w:val="subscript"/>
        </w:rPr>
        <w:t>k/n</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ПМСП(n)</w:t>
      </w:r>
      <w:r>
        <w:rPr>
          <w:rFonts w:ascii="Times New Roman"/>
          <w:b w:val="false"/>
          <w:i w:val="false"/>
          <w:color w:val="000000"/>
          <w:sz w:val="28"/>
        </w:rPr>
        <w:t xml:space="preserve"> – половозрастной поправочный коэффициент потребления медицинских услуг населением согласно приложению 1 к настоящей Методике половозрастной группы номер n;</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Республики Казахстан для всех субъектов ПМСП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х %КДП, где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КПН</w:t>
      </w:r>
      <w:r>
        <w:rPr>
          <w:rFonts w:ascii="Times New Roman"/>
          <w:b w:val="false"/>
          <w:i w:val="false"/>
          <w:color w:val="000000"/>
          <w:vertAlign w:val="subscript"/>
        </w:rPr>
        <w:t>баз.АПП(рк)</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рк</w:t>
      </w:r>
      <w:r>
        <w:rPr>
          <w:rFonts w:ascii="Times New Roman"/>
          <w:b w:val="false"/>
          <w:i w:val="false"/>
          <w:color w:val="000000"/>
          <w:sz w:val="28"/>
        </w:rPr>
        <w:t xml:space="preserve"> – средний половозрастной поправочный коэффициент потребления медицинских услуг населением на уровне страны, рассчитанный на основе данных портала "РПН" по половозрастной структуре населения страны;</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xml:space="preserve"> - средний гарантированный компонент комплексного подушевого норматива АПП на одного жителя в месяц по стране на предстоящий финансовый год без учета средств на оплату надбавки в зонах экологического бедствия,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xml:space="preserve"> = (V</w:t>
      </w:r>
      <w:r>
        <w:rPr>
          <w:rFonts w:ascii="Times New Roman"/>
          <w:b w:val="false"/>
          <w:i w:val="false"/>
          <w:color w:val="000000"/>
          <w:vertAlign w:val="subscript"/>
        </w:rPr>
        <w:t>АПП_рк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экол_рк</w:t>
      </w:r>
      <w:r>
        <w:rPr>
          <w:rFonts w:ascii="Times New Roman"/>
          <w:b w:val="false"/>
          <w:i w:val="false"/>
          <w:color w:val="000000"/>
          <w:sz w:val="28"/>
        </w:rPr>
        <w:t>)/Ч</w:t>
      </w:r>
      <w:r>
        <w:rPr>
          <w:rFonts w:ascii="Times New Roman"/>
          <w:b w:val="false"/>
          <w:i w:val="false"/>
          <w:color w:val="000000"/>
          <w:vertAlign w:val="subscript"/>
        </w:rPr>
        <w:t>рк/m</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АПП(рк)</w:t>
      </w:r>
      <w:r>
        <w:rPr>
          <w:rFonts w:ascii="Times New Roman"/>
          <w:b w:val="false"/>
          <w:i w:val="false"/>
          <w:color w:val="000000"/>
          <w:sz w:val="28"/>
        </w:rPr>
        <w:t xml:space="preserve"> – плановый годовой объем финансирования по стране на оказание АПП населению;</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экол_город</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Законами Республики Казахстан "</w:t>
      </w:r>
      <w:r>
        <w:rPr>
          <w:rFonts w:ascii="Times New Roman"/>
          <w:b w:val="false"/>
          <w:i w:val="false"/>
          <w:color w:val="000000"/>
          <w:sz w:val="28"/>
        </w:rPr>
        <w:t xml:space="preserve"> О социальной защите гpаждан, пострадавших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w:t>
      </w:r>
      <w:r>
        <w:rPr>
          <w:rFonts w:ascii="Times New Roman"/>
          <w:b w:val="false"/>
          <w:i w:val="false"/>
          <w:color w:val="000000"/>
          <w:sz w:val="28"/>
        </w:rPr>
        <w:t xml:space="preserve"> 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ЗРК о соцзащите граждан СИЯП);</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рк</w:t>
      </w:r>
      <w:r>
        <w:rPr>
          <w:rFonts w:ascii="Times New Roman"/>
          <w:b w:val="false"/>
          <w:i w:val="false"/>
          <w:color w:val="000000"/>
          <w:sz w:val="28"/>
        </w:rPr>
        <w:t xml:space="preserve"> – численность прикрепленного населения ко всем субъектам ПМСП страны,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АПП;</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КДП</w:t>
      </w:r>
      <w:r>
        <w:rPr>
          <w:rFonts w:ascii="Times New Roman"/>
          <w:b w:val="false"/>
          <w:i w:val="false"/>
          <w:color w:val="000000"/>
          <w:sz w:val="28"/>
        </w:rPr>
        <w:t xml:space="preserve"> – доля средств на оказание консультативно-диагностических услуг в рамках ГОБМП населению, прикрепленному к субъектам ПМСП, расходы по которым согласно перечню услуг, определенному в соответствии с подпунктом 81)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о здоровье, не включены в комплексный подушевой норматив АПП для субъектов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средний коэффициент плотности населения по стране;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средний коэффициент учета продолжительности отопительного сезона по стране;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средний коэффициент учета надбавок за работу в сельской местности по стране,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экол_пмсп</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субъекту ПМСП, который формируется на уровне области в соответствии с Законами Республики Казахстан "</w:t>
      </w:r>
      <w:r>
        <w:rPr>
          <w:rFonts w:ascii="Times New Roman"/>
          <w:b w:val="false"/>
          <w:i w:val="false"/>
          <w:color w:val="000000"/>
          <w:sz w:val="28"/>
        </w:rPr>
        <w:t xml:space="preserve"> О социальной защите гpаждан, пострадавших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w:t>
      </w:r>
      <w:r>
        <w:rPr>
          <w:rFonts w:ascii="Times New Roman"/>
          <w:b w:val="false"/>
          <w:i w:val="false"/>
          <w:color w:val="000000"/>
          <w:sz w:val="28"/>
        </w:rPr>
        <w:t xml:space="preserve"> 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ЗРК о соцзащите граждан СИЯП);</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1 + В х П </w:t>
      </w:r>
      <w:r>
        <w:rPr>
          <w:rFonts w:ascii="Times New Roman"/>
          <w:b w:val="false"/>
          <w:i w:val="false"/>
          <w:color w:val="000000"/>
          <w:vertAlign w:val="subscript"/>
        </w:rPr>
        <w:t>нас РК/сред</w:t>
      </w:r>
      <w:r>
        <w:rPr>
          <w:rFonts w:ascii="Times New Roman"/>
          <w:b w:val="false"/>
          <w:i w:val="false"/>
          <w:color w:val="000000"/>
          <w:sz w:val="28"/>
        </w:rPr>
        <w:t xml:space="preserve">/П </w:t>
      </w:r>
      <w:r>
        <w:rPr>
          <w:rFonts w:ascii="Times New Roman"/>
          <w:b w:val="false"/>
          <w:i w:val="false"/>
          <w:color w:val="000000"/>
          <w:vertAlign w:val="subscript"/>
        </w:rPr>
        <w:t>нас обл.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нас.РК/сред</w:t>
      </w:r>
      <w:r>
        <w:rPr>
          <w:rFonts w:ascii="Times New Roman"/>
          <w:b w:val="false"/>
          <w:i w:val="false"/>
          <w:color w:val="000000"/>
          <w:sz w:val="28"/>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нас.обл.</w:t>
      </w:r>
      <w:r>
        <w:rPr>
          <w:rFonts w:ascii="Times New Roman"/>
          <w:b w:val="false"/>
          <w:i w:val="false"/>
          <w:color w:val="000000"/>
          <w:sz w:val="28"/>
        </w:rPr>
        <w:t>– плотность населения в области (городе республиканского значения и столице) согласно данным Комитета по статистике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83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отопление в общем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sz w:val="28"/>
        </w:rPr>
        <w:t xml:space="preserve"> – период отопительного сезона по области (городе республиканского значения и столице) согласно данным Комитета по статистике,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xml:space="preserve"> – период отопительного сезона в среднем по Республике Казахстан согласно данным Комитета по статистике,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xml:space="preserve">
      14. Расчет объема финансирования АПП по комплексному подушевому нормативу АПП для субъекта ПМСП осуществляется по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Ч</w:t>
      </w:r>
      <w:r>
        <w:rPr>
          <w:rFonts w:ascii="Times New Roman"/>
          <w:b w:val="false"/>
          <w:i w:val="false"/>
          <w:color w:val="000000"/>
          <w:vertAlign w:val="subscript"/>
        </w:rPr>
        <w:t>ПМСП</w:t>
      </w:r>
      <w:r>
        <w:rPr>
          <w:rFonts w:ascii="Times New Roman"/>
          <w:b w:val="false"/>
          <w:i w:val="false"/>
          <w:color w:val="000000"/>
          <w:sz w:val="28"/>
        </w:rPr>
        <w:t xml:space="preserve"> х КПН</w:t>
      </w:r>
      <w:r>
        <w:rPr>
          <w:rFonts w:ascii="Times New Roman"/>
          <w:b w:val="false"/>
          <w:i w:val="false"/>
          <w:color w:val="000000"/>
          <w:vertAlign w:val="subscript"/>
        </w:rPr>
        <w:t>ПМСП</w:t>
      </w:r>
      <w:r>
        <w:rPr>
          <w:rFonts w:ascii="Times New Roman"/>
          <w:b w:val="false"/>
          <w:i w:val="false"/>
          <w:color w:val="000000"/>
          <w:sz w:val="28"/>
        </w:rPr>
        <w:t xml:space="preserve"> х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объем финансирования субъекта ПМСП на предстоящий финансовый год или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по результатам кампании свободного прикрепления населения или по состоянию на последний день месяца отчетного периода, которая используется для расчета объема финансирования на предстоящий финансовый год или отчетный период;</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 определенный для субъекта ПМСП;</w:t>
      </w:r>
    </w:p>
    <w:p>
      <w:pPr>
        <w:spacing w:after="0"/>
        <w:ind w:left="0"/>
        <w:jc w:val="both"/>
      </w:pPr>
      <w:r>
        <w:rPr>
          <w:rFonts w:ascii="Times New Roman"/>
          <w:b w:val="false"/>
          <w:i w:val="false"/>
          <w:color w:val="000000"/>
          <w:sz w:val="28"/>
        </w:rPr>
        <w:t>
      m – количество месяцев в периоде, которые используются для расчета объема финансирования.</w:t>
      </w:r>
    </w:p>
    <w:p>
      <w:pPr>
        <w:spacing w:after="0"/>
        <w:ind w:left="0"/>
        <w:jc w:val="both"/>
      </w:pPr>
      <w:r>
        <w:rPr>
          <w:rFonts w:ascii="Times New Roman"/>
          <w:b w:val="false"/>
          <w:i w:val="false"/>
          <w:color w:val="000000"/>
          <w:sz w:val="28"/>
        </w:rPr>
        <w:t>
      Объем финансирования субъекта ПМСП по комплексному подушевому нормативу АПП не зависит от объема оказанных услуг.</w:t>
      </w:r>
    </w:p>
    <w:p>
      <w:pPr>
        <w:spacing w:after="0"/>
        <w:ind w:left="0"/>
        <w:jc w:val="both"/>
      </w:pPr>
      <w:r>
        <w:rPr>
          <w:rFonts w:ascii="Times New Roman"/>
          <w:b w:val="false"/>
          <w:i w:val="false"/>
          <w:color w:val="000000"/>
          <w:sz w:val="28"/>
        </w:rPr>
        <w:t>
      Субъекту ПМСП сумма СКПН в расчете на одного жителя определяется при определении объема финансирования на предстоящий финансовый год по плановому уровню, установленному по республике, а при определении объема финансирования за отчетный период на основе полученного фактического результата ППИ.</w:t>
      </w:r>
    </w:p>
    <w:p>
      <w:pPr>
        <w:spacing w:after="0"/>
        <w:ind w:left="0"/>
        <w:jc w:val="both"/>
      </w:pPr>
      <w:r>
        <w:rPr>
          <w:rFonts w:ascii="Times New Roman"/>
          <w:b w:val="false"/>
          <w:i w:val="false"/>
          <w:color w:val="000000"/>
          <w:sz w:val="28"/>
        </w:rPr>
        <w:t>
      15. Расчет СКПН осуществляется последовательно в следующем порядке:</w:t>
      </w:r>
    </w:p>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плановая сумма СКПН в расчете на 1 жителя по республике;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Комитета по статистике, подлежащая корректировке в соответствии с данными численности населения, зарегистрированной в портале "РПН", или по данным портала "РПН";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xml:space="preserve"> – годовой объем финансирования СКПН по региону;</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xml:space="preserve"> – численность прикрепленного населения по региону, зарегистрированная в портале "РПН", используемая для исчисления бюджета в текущем финансовом году на основании данных Соглашения о результатах по целевым трансфертам области на обеспечение и расширение ГОБМП (далее – Соглашение);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сумма СКПН в расчете на 1 жителя по республике;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p>
      <w:pPr>
        <w:spacing w:after="0"/>
        <w:ind w:left="0"/>
        <w:jc w:val="both"/>
      </w:pPr>
      <w:r>
        <w:rPr>
          <w:rFonts w:ascii="Times New Roman"/>
          <w:b w:val="false"/>
          <w:i w:val="false"/>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rFonts w:ascii="Times New Roman"/>
          <w:b w:val="false"/>
          <w:i w:val="false"/>
          <w:color w:val="000000"/>
          <w:vertAlign w:val="subscript"/>
        </w:rPr>
        <w:t>скпн рег./мес.</w:t>
      </w:r>
      <w:r>
        <w:rPr>
          <w:rFonts w:ascii="Times New Roman"/>
          <w:b w:val="false"/>
          <w:i w:val="false"/>
          <w:color w:val="000000"/>
          <w:sz w:val="28"/>
        </w:rPr>
        <w:t>).</w:t>
      </w:r>
    </w:p>
    <w:p>
      <w:pPr>
        <w:spacing w:after="0"/>
        <w:ind w:left="0"/>
        <w:jc w:val="both"/>
      </w:pPr>
      <w:r>
        <w:rPr>
          <w:rFonts w:ascii="Times New Roman"/>
          <w:b w:val="false"/>
          <w:i w:val="false"/>
          <w:color w:val="000000"/>
          <w:sz w:val="28"/>
        </w:rPr>
        <w:t>
      шаг 3: определение планового годового объема финансирования СКПН для субъекта ПМСП осуществляется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 m,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xml:space="preserve"> – плановый годовой объем финансирования СКПН субъекта ПМСП;</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плановая сумма СКПН в расчете на 1 жителя по республике;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в рамках ГОБМП, равный 1,0;</w:t>
      </w:r>
    </w:p>
    <w:p>
      <w:pPr>
        <w:spacing w:after="0"/>
        <w:ind w:left="0"/>
        <w:jc w:val="both"/>
      </w:pPr>
      <w:r>
        <w:rPr>
          <w:rFonts w:ascii="Times New Roman"/>
          <w:b w:val="false"/>
          <w:i w:val="false"/>
          <w:color w:val="000000"/>
          <w:sz w:val="28"/>
        </w:rPr>
        <w:t>
      m – количество месяцев в плановом финансовом году, в которых будет осуществляться выплата сумм СКПН.</w:t>
      </w:r>
    </w:p>
    <w:p>
      <w:pPr>
        <w:spacing w:after="0"/>
        <w:ind w:left="0"/>
        <w:jc w:val="both"/>
      </w:pPr>
      <w:r>
        <w:rPr>
          <w:rFonts w:ascii="Times New Roman"/>
          <w:b w:val="false"/>
          <w:i w:val="false"/>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p>
      <w:pPr>
        <w:spacing w:after="0"/>
        <w:ind w:left="0"/>
        <w:jc w:val="both"/>
      </w:pPr>
      <w:r>
        <w:rPr>
          <w:rFonts w:ascii="Times New Roman"/>
          <w:b w:val="false"/>
          <w:i w:val="false"/>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pPr>
        <w:spacing w:after="0"/>
        <w:ind w:left="0"/>
        <w:jc w:val="both"/>
      </w:pPr>
      <w:r>
        <w:rPr>
          <w:rFonts w:ascii="Times New Roman"/>
          <w:b w:val="false"/>
          <w:i w:val="false"/>
          <w:color w:val="000000"/>
          <w:sz w:val="28"/>
        </w:rPr>
        <w:t>
      1-й этап: оценка достижения субъектом ПМСП целевого значения индикаторов конечного результата за отчетный период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целевого значения индикаторов оценки достигнутых конечных результатов работы субъекта ПМСП (далее – индикатор конечного результата) осуществляется по формуле:</w:t>
      </w:r>
    </w:p>
    <w:p>
      <w:pPr>
        <w:spacing w:after="0"/>
        <w:ind w:left="0"/>
        <w:jc w:val="both"/>
      </w:pPr>
      <w:r>
        <w:rPr>
          <w:rFonts w:ascii="Times New Roman"/>
          <w:b w:val="false"/>
          <w:i w:val="false"/>
          <w:color w:val="000000"/>
          <w:sz w:val="28"/>
        </w:rPr>
        <w:t>
      Ц = И</w:t>
      </w:r>
      <w:r>
        <w:rPr>
          <w:rFonts w:ascii="Times New Roman"/>
          <w:b w:val="false"/>
          <w:i w:val="false"/>
          <w:color w:val="000000"/>
          <w:vertAlign w:val="subscript"/>
        </w:rPr>
        <w:t>п</w:t>
      </w:r>
      <w:r>
        <w:rPr>
          <w:rFonts w:ascii="Times New Roman"/>
          <w:b w:val="false"/>
          <w:i w:val="false"/>
          <w:color w:val="000000"/>
          <w:sz w:val="28"/>
        </w:rPr>
        <w:t xml:space="preserve"> – И</w:t>
      </w:r>
      <w:r>
        <w:rPr>
          <w:rFonts w:ascii="Times New Roman"/>
          <w:b w:val="false"/>
          <w:i w:val="false"/>
          <w:color w:val="000000"/>
          <w:vertAlign w:val="subscript"/>
        </w:rPr>
        <w:t>п</w:t>
      </w:r>
      <w:r>
        <w:rPr>
          <w:rFonts w:ascii="Times New Roman"/>
          <w:b w:val="false"/>
          <w:i w:val="false"/>
          <w:color w:val="000000"/>
          <w:sz w:val="28"/>
        </w:rPr>
        <w:t xml:space="preserve"> х N, где:</w:t>
      </w:r>
    </w:p>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п</w:t>
      </w:r>
      <w:r>
        <w:rPr>
          <w:rFonts w:ascii="Times New Roman"/>
          <w:b w:val="false"/>
          <w:i w:val="false"/>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максимально возможных баллов для субъектов ПМСП в разрезе профилей территориальных участков согласно приложению 2 к настоящей Методике (далее – приложение 2);</w:t>
      </w:r>
    </w:p>
    <w:p>
      <w:pPr>
        <w:spacing w:after="0"/>
        <w:ind w:left="0"/>
        <w:jc w:val="both"/>
      </w:pPr>
      <w:r>
        <w:rPr>
          <w:rFonts w:ascii="Times New Roman"/>
          <w:b w:val="false"/>
          <w:i w:val="false"/>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p>
      <w:pPr>
        <w:spacing w:after="0"/>
        <w:ind w:left="0"/>
        <w:jc w:val="both"/>
      </w:pPr>
      <w:r>
        <w:rPr>
          <w:rFonts w:ascii="Times New Roman"/>
          <w:b w:val="false"/>
          <w:i w:val="false"/>
          <w:color w:val="000000"/>
          <w:sz w:val="28"/>
        </w:rPr>
        <w:t>
      1) если N устанавливает снижение порогового значения индикатора конечного результата, тогда N применяется в положительном значении (N</w:t>
      </w:r>
      <w:r>
        <w:rPr>
          <w:rFonts w:ascii="Times New Roman"/>
          <w:b w:val="false"/>
          <w:i w:val="false"/>
          <w:color w:val="000000"/>
          <w:vertAlign w:val="subscript"/>
        </w:rPr>
        <w:t>сниж</w:t>
      </w:r>
      <w:r>
        <w:rPr>
          <w:rFonts w:ascii="Times New Roman"/>
          <w:b w:val="false"/>
          <w:i w:val="false"/>
          <w:color w:val="000000"/>
          <w:sz w:val="28"/>
        </w:rPr>
        <w:t>);</w:t>
      </w:r>
    </w:p>
    <w:p>
      <w:pPr>
        <w:spacing w:after="0"/>
        <w:ind w:left="0"/>
        <w:jc w:val="both"/>
      </w:pPr>
      <w:r>
        <w:rPr>
          <w:rFonts w:ascii="Times New Roman"/>
          <w:b w:val="false"/>
          <w:i w:val="false"/>
          <w:color w:val="000000"/>
          <w:sz w:val="28"/>
        </w:rPr>
        <w:t>
      2) если N устанавливает увеличение значения индикатора конечного результата, тогда N применяется в отрицательном значении (N</w:t>
      </w:r>
      <w:r>
        <w:rPr>
          <w:rFonts w:ascii="Times New Roman"/>
          <w:b w:val="false"/>
          <w:i w:val="false"/>
          <w:color w:val="000000"/>
          <w:vertAlign w:val="subscript"/>
        </w:rPr>
        <w:t>повыш</w:t>
      </w:r>
      <w:r>
        <w:rPr>
          <w:rFonts w:ascii="Times New Roman"/>
          <w:b w:val="false"/>
          <w:i w:val="false"/>
          <w:color w:val="000000"/>
          <w:sz w:val="28"/>
        </w:rPr>
        <w:t>);</w:t>
      </w:r>
    </w:p>
    <w:p>
      <w:pPr>
        <w:spacing w:after="0"/>
        <w:ind w:left="0"/>
        <w:jc w:val="both"/>
      </w:pPr>
      <w:r>
        <w:rPr>
          <w:rFonts w:ascii="Times New Roman"/>
          <w:b w:val="false"/>
          <w:i w:val="false"/>
          <w:color w:val="000000"/>
          <w:sz w:val="28"/>
        </w:rPr>
        <w:t>
      3) если целевое значение индикатора конечного результата должно быть достигнуто в определенном значении, тогда Ц = N.</w:t>
      </w:r>
    </w:p>
    <w:p>
      <w:pPr>
        <w:spacing w:after="0"/>
        <w:ind w:left="0"/>
        <w:jc w:val="both"/>
      </w:pPr>
      <w:r>
        <w:rPr>
          <w:rFonts w:ascii="Times New Roman"/>
          <w:b w:val="false"/>
          <w:i w:val="false"/>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pPr>
        <w:spacing w:after="0"/>
        <w:ind w:left="0"/>
        <w:jc w:val="both"/>
      </w:pPr>
      <w:r>
        <w:rPr>
          <w:rFonts w:ascii="Times New Roman"/>
          <w:b w:val="false"/>
          <w:i w:val="false"/>
          <w:color w:val="000000"/>
          <w:sz w:val="28"/>
        </w:rPr>
        <w:t>
      1) формирование индикаторов конечного результата в информационной системе "Дополнительный компонент к тарифу первичной медико-санитарной помощи" (далее – ДКПН) осуществляется:</w:t>
      </w:r>
    </w:p>
    <w:p>
      <w:pPr>
        <w:spacing w:after="0"/>
        <w:ind w:left="0"/>
        <w:jc w:val="both"/>
      </w:pPr>
      <w:r>
        <w:rPr>
          <w:rFonts w:ascii="Times New Roman"/>
          <w:b w:val="false"/>
          <w:i w:val="false"/>
          <w:color w:val="000000"/>
          <w:sz w:val="28"/>
        </w:rPr>
        <w:t>
      на основе баз данных портала "РПН", "Электронный регистр онкологических больных" (далее – ИС "ЭРОБ"), "Система управления качеством медицинских услуг", "Электронный регистр диспансерных больных" и (или) "Национальный регистр больных туберкулезом" (далее – база данных), а также результатов государственного контроля в сфере оказания медицинских услуг, в соответствии с индикатором оценки достигнутых результатов работы субъектов здравоохранения, оказывающих первичную медико-санитарную помощь, согласно приложению 3 к настоящей Методике (далее – приложение 3);</w:t>
      </w:r>
    </w:p>
    <w:p>
      <w:pPr>
        <w:spacing w:after="0"/>
        <w:ind w:left="0"/>
        <w:jc w:val="both"/>
      </w:pPr>
      <w:r>
        <w:rPr>
          <w:rFonts w:ascii="Times New Roman"/>
          <w:b w:val="false"/>
          <w:i w:val="false"/>
          <w:color w:val="000000"/>
          <w:sz w:val="28"/>
        </w:rPr>
        <w:t>
      ежемесячно с ежедневной периодичностью обновления данных из базы данных в автоматизированном режиме;</w:t>
      </w:r>
    </w:p>
    <w:p>
      <w:pPr>
        <w:spacing w:after="0"/>
        <w:ind w:left="0"/>
        <w:jc w:val="both"/>
      </w:pPr>
      <w:r>
        <w:rPr>
          <w:rFonts w:ascii="Times New Roman"/>
          <w:b w:val="false"/>
          <w:i w:val="false"/>
          <w:color w:val="000000"/>
          <w:sz w:val="28"/>
        </w:rPr>
        <w:t>
      в полном объеме, соответствующему данным из баз данных;</w:t>
      </w:r>
    </w:p>
    <w:p>
      <w:pPr>
        <w:spacing w:after="0"/>
        <w:ind w:left="0"/>
        <w:jc w:val="both"/>
      </w:pPr>
      <w:r>
        <w:rPr>
          <w:rFonts w:ascii="Times New Roman"/>
          <w:b w:val="false"/>
          <w:i w:val="false"/>
          <w:color w:val="000000"/>
          <w:sz w:val="28"/>
        </w:rPr>
        <w:t>
      корректно, то есть выгрузка осуществлена в соответствии с требованиями, определенными в приложении 3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приложению 4 к настоящей Методике (далее – приложение 4);</w:t>
      </w:r>
    </w:p>
    <w:p>
      <w:pPr>
        <w:spacing w:after="0"/>
        <w:ind w:left="0"/>
        <w:jc w:val="both"/>
      </w:pPr>
      <w:r>
        <w:rPr>
          <w:rFonts w:ascii="Times New Roman"/>
          <w:b w:val="false"/>
          <w:i w:val="false"/>
          <w:color w:val="000000"/>
          <w:sz w:val="28"/>
        </w:rPr>
        <w:t>
      2) расчет текущего значения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осуществляется в автоматизированном режиме в "ДКПН" на основе данных, выгруженных из базы данных, и определяется по формуле: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/К</w:t>
      </w:r>
      <w:r>
        <w:rPr>
          <w:rFonts w:ascii="Times New Roman"/>
          <w:b w:val="false"/>
          <w:i w:val="false"/>
          <w:color w:val="000000"/>
          <w:vertAlign w:val="subscript"/>
        </w:rPr>
        <w:t>з</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Кз -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Ни – значение единицы расчета конкретного индикатора конечного результата, определенное согласно приложению 3 к настоящей Методике.</w:t>
      </w:r>
    </w:p>
    <w:p>
      <w:pPr>
        <w:spacing w:after="0"/>
        <w:ind w:left="0"/>
        <w:jc w:val="both"/>
      </w:pPr>
      <w:r>
        <w:rPr>
          <w:rFonts w:ascii="Times New Roman"/>
          <w:b w:val="false"/>
          <w:i w:val="false"/>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приложениям 3 и 4 к настоящей Методике.</w:t>
      </w:r>
    </w:p>
    <w:p>
      <w:pPr>
        <w:spacing w:after="0"/>
        <w:ind w:left="0"/>
        <w:jc w:val="both"/>
      </w:pPr>
      <w:r>
        <w:rPr>
          <w:rFonts w:ascii="Times New Roman"/>
          <w:b w:val="false"/>
          <w:i w:val="false"/>
          <w:color w:val="000000"/>
          <w:sz w:val="28"/>
        </w:rPr>
        <w:t>
      Оценка достигнутых конечных результатов работы организаций ПМСП в баллах выполняется последовательно в следующем порядке за отчетный период:</w:t>
      </w:r>
    </w:p>
    <w:p>
      <w:pPr>
        <w:spacing w:after="0"/>
        <w:ind w:left="0"/>
        <w:jc w:val="both"/>
      </w:pPr>
      <w:r>
        <w:rPr>
          <w:rFonts w:ascii="Times New Roman"/>
          <w:b w:val="false"/>
          <w:i w:val="false"/>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w:t>
      </w:r>
    </w:p>
    <w:p>
      <w:pPr>
        <w:spacing w:after="0"/>
        <w:ind w:left="0"/>
        <w:jc w:val="both"/>
      </w:pPr>
      <w:r>
        <w:rPr>
          <w:rFonts w:ascii="Times New Roman"/>
          <w:b w:val="false"/>
          <w:i w:val="false"/>
          <w:color w:val="000000"/>
          <w:sz w:val="28"/>
        </w:rPr>
        <w:t>
      ППИ = Ц х И</w:t>
      </w:r>
      <w:r>
        <w:rPr>
          <w:rFonts w:ascii="Times New Roman"/>
          <w:b w:val="false"/>
          <w:i w:val="false"/>
          <w:color w:val="000000"/>
          <w:vertAlign w:val="subscript"/>
        </w:rPr>
        <w:t>ВК</w:t>
      </w: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где</w:t>
      </w:r>
    </w:p>
    <w:p>
      <w:pPr>
        <w:spacing w:after="0"/>
        <w:ind w:left="0"/>
        <w:jc w:val="both"/>
      </w:pPr>
      <w:r>
        <w:rPr>
          <w:rFonts w:ascii="Times New Roman"/>
          <w:b w:val="false"/>
          <w:i w:val="false"/>
          <w:color w:val="000000"/>
          <w:sz w:val="28"/>
        </w:rPr>
        <w:t>
      ППИ - приведенный показатель индикатора конечного результата (далее - фактический балл);</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текущее значение по индикаторам конечного результата за отчетный период;</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ВК</w:t>
      </w:r>
      <w:r>
        <w:rPr>
          <w:rFonts w:ascii="Times New Roman"/>
          <w:b w:val="false"/>
          <w:i w:val="false"/>
          <w:color w:val="000000"/>
          <w:sz w:val="28"/>
        </w:rPr>
        <w:t xml:space="preserve"> – максимальное значение балла по конкретному индикатору конечного результата;</w:t>
      </w:r>
    </w:p>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повыш</w:t>
      </w:r>
      <w:r>
        <w:rPr>
          <w:rFonts w:ascii="Times New Roman"/>
          <w:b w:val="false"/>
          <w:i w:val="false"/>
          <w:color w:val="000000"/>
          <w:sz w:val="28"/>
        </w:rPr>
        <w:t>:</w:t>
      </w:r>
    </w:p>
    <w:p>
      <w:pPr>
        <w:spacing w:after="0"/>
        <w:ind w:left="0"/>
        <w:jc w:val="both"/>
      </w:pPr>
      <w:r>
        <w:rPr>
          <w:rFonts w:ascii="Times New Roman"/>
          <w:b w:val="false"/>
          <w:i w:val="false"/>
          <w:color w:val="000000"/>
          <w:sz w:val="28"/>
        </w:rPr>
        <w:t>
      ППИ = И</w:t>
      </w:r>
      <w:r>
        <w:rPr>
          <w:rFonts w:ascii="Times New Roman"/>
          <w:b w:val="false"/>
          <w:i w:val="false"/>
          <w:color w:val="000000"/>
          <w:vertAlign w:val="subscript"/>
        </w:rPr>
        <w:t>т</w:t>
      </w:r>
      <w:r>
        <w:rPr>
          <w:rFonts w:ascii="Times New Roman"/>
          <w:b w:val="false"/>
          <w:i w:val="false"/>
          <w:color w:val="000000"/>
          <w:sz w:val="28"/>
        </w:rPr>
        <w:t xml:space="preserve"> х И</w:t>
      </w:r>
      <w:r>
        <w:rPr>
          <w:rFonts w:ascii="Times New Roman"/>
          <w:b w:val="false"/>
          <w:i w:val="false"/>
          <w:color w:val="000000"/>
          <w:vertAlign w:val="subscript"/>
        </w:rPr>
        <w:t>ВК</w:t>
      </w:r>
      <w:r>
        <w:rPr>
          <w:rFonts w:ascii="Times New Roman"/>
          <w:b w:val="false"/>
          <w:i w:val="false"/>
          <w:color w:val="000000"/>
          <w:sz w:val="28"/>
        </w:rPr>
        <w:t xml:space="preserve"> / Ц, где</w:t>
      </w:r>
    </w:p>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равное 0:</w:t>
      </w:r>
    </w:p>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 0,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&gt;0, то ППИ устанавливается как 0.</w:t>
      </w:r>
    </w:p>
    <w:p>
      <w:pPr>
        <w:spacing w:after="0"/>
        <w:ind w:left="0"/>
        <w:jc w:val="both"/>
      </w:pPr>
      <w:r>
        <w:rPr>
          <w:rFonts w:ascii="Times New Roman"/>
          <w:b w:val="false"/>
          <w:i w:val="false"/>
          <w:color w:val="000000"/>
          <w:sz w:val="28"/>
        </w:rPr>
        <w:t>
      В случае если по индикаторам конечного результата, по которым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 xml:space="preserve"> и N</w:t>
      </w:r>
      <w:r>
        <w:rPr>
          <w:rFonts w:ascii="Times New Roman"/>
          <w:b w:val="false"/>
          <w:i w:val="false"/>
          <w:color w:val="000000"/>
          <w:vertAlign w:val="subscript"/>
        </w:rPr>
        <w:t>повыш</w:t>
      </w:r>
      <w:r>
        <w:rPr>
          <w:rFonts w:ascii="Times New Roman"/>
          <w:b w:val="false"/>
          <w:i w:val="false"/>
          <w:color w:val="000000"/>
          <w:sz w:val="28"/>
        </w:rPr>
        <w:t>, отсутствуют данные по числителю и знаменателю, то ППИ устанавливать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w:t>
      </w:r>
      <w:r>
        <w:rPr>
          <w:rFonts w:ascii="Times New Roman"/>
          <w:b w:val="false"/>
          <w:i w:val="false"/>
          <w:color w:val="000000"/>
          <w:vertAlign w:val="subscript"/>
        </w:rPr>
        <w:t>%</w:t>
      </w:r>
      <w:r>
        <w:rPr>
          <w:rFonts w:ascii="Times New Roman"/>
          <w:b w:val="false"/>
          <w:i w:val="false"/>
          <w:color w:val="000000"/>
          <w:sz w:val="28"/>
        </w:rPr>
        <w:t>) по формуле:</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ППИ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х 100, где:</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 сумма максимальных баллов по каждому индикатору конечного результата, которую необходимо было набрать субъекту ПМСП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vertAlign w:val="subscript"/>
        </w:rPr>
        <w:t>скпн мо</w:t>
      </w:r>
      <w:r>
        <w:rPr>
          <w:rFonts w:ascii="Times New Roman"/>
          <w:b w:val="false"/>
          <w:i w:val="false"/>
          <w:color w:val="000000"/>
          <w:sz w:val="28"/>
        </w:rPr>
        <w:t>1= Ч</w:t>
      </w:r>
      <w:r>
        <w:rPr>
          <w:rFonts w:ascii="Times New Roman"/>
          <w:b w:val="false"/>
          <w:i w:val="false"/>
          <w:color w:val="000000"/>
          <w:vertAlign w:val="subscript"/>
        </w:rPr>
        <w:t>нас. мо</w:t>
      </w:r>
      <w:r>
        <w:rPr>
          <w:rFonts w:ascii="Times New Roman"/>
          <w:b w:val="false"/>
          <w:i w:val="false"/>
          <w:color w:val="000000"/>
          <w:sz w:val="28"/>
        </w:rPr>
        <w:t xml:space="preserve"> х S</w:t>
      </w:r>
      <w:r>
        <w:rPr>
          <w:rFonts w:ascii="Times New Roman"/>
          <w:b w:val="false"/>
          <w:i w:val="false"/>
          <w:color w:val="000000"/>
          <w:vertAlign w:val="subscript"/>
        </w:rPr>
        <w:t>факт.скпн_рег/балл</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х К</w:t>
      </w:r>
      <w:r>
        <w:rPr>
          <w:rFonts w:ascii="Times New Roman"/>
          <w:b w:val="false"/>
          <w:i w:val="false"/>
          <w:color w:val="000000"/>
          <w:vertAlign w:val="subscript"/>
        </w:rPr>
        <w:t>мо</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vertAlign w:val="subscript"/>
        </w:rPr>
        <w:t>скпн мо</w:t>
      </w:r>
      <w:r>
        <w:rPr>
          <w:rFonts w:ascii="Times New Roman"/>
          <w:b w:val="false"/>
          <w:i w:val="false"/>
          <w:color w:val="000000"/>
          <w:sz w:val="28"/>
        </w:rPr>
        <w:t>1– фактический объем финансирования СКПН по субъекту ПМСП за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факт.скпн_рег/балл</w:t>
      </w:r>
      <w:r>
        <w:rPr>
          <w:rFonts w:ascii="Times New Roman"/>
          <w:b w:val="false"/>
          <w:i w:val="false"/>
          <w:color w:val="000000"/>
          <w:sz w:val="28"/>
        </w:rPr>
        <w:t xml:space="preserve"> - сумма СКПН, установленная в отчетном периоде в расчете на 1 балл по региону, которая определяется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факт.скпн_рег/балл</w:t>
      </w:r>
      <w:r>
        <w:rPr>
          <w:rFonts w:ascii="Times New Roman"/>
          <w:b w:val="false"/>
          <w:i w:val="false"/>
          <w:color w:val="000000"/>
          <w:sz w:val="28"/>
        </w:rPr>
        <w:t xml:space="preserve"> = V</w:t>
      </w:r>
      <w:r>
        <w:rPr>
          <w:rFonts w:ascii="Times New Roman"/>
          <w:b w:val="false"/>
          <w:i w:val="false"/>
          <w:color w:val="000000"/>
          <w:vertAlign w:val="subscript"/>
        </w:rPr>
        <w:t>скпн рег./мес</w:t>
      </w:r>
      <w:r>
        <w:rPr>
          <w:rFonts w:ascii="Times New Roman"/>
          <w:b w:val="false"/>
          <w:i w:val="false"/>
          <w:color w:val="000000"/>
          <w:sz w:val="28"/>
        </w:rPr>
        <w:t>. / Ч</w:t>
      </w:r>
      <w:r>
        <w:rPr>
          <w:rFonts w:ascii="Times New Roman"/>
          <w:b w:val="false"/>
          <w:i w:val="false"/>
          <w:color w:val="000000"/>
          <w:vertAlign w:val="subscript"/>
        </w:rPr>
        <w:t>нас. рег</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рег./мес.</w:t>
      </w:r>
      <w:r>
        <w:rPr>
          <w:rFonts w:ascii="Times New Roman"/>
          <w:b w:val="false"/>
          <w:i w:val="false"/>
          <w:color w:val="000000"/>
          <w:sz w:val="28"/>
        </w:rPr>
        <w:t xml:space="preserve"> – объем финансирования СКПН по региону в месяц;</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рег.</w:t>
      </w:r>
      <w:r>
        <w:rPr>
          <w:rFonts w:ascii="Times New Roman"/>
          <w:b w:val="false"/>
          <w:i w:val="false"/>
          <w:color w:val="000000"/>
          <w:sz w:val="28"/>
        </w:rPr>
        <w:t xml:space="preserve"> – численность прикрепленного населения по региону,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сумма баллов по всем индикаторам, указанным в таблице согласно приложению 2 к настоящей Методике;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в рамках ГОБМП, за отчетный период рассчитывается на основании данных портала "РПН"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)/3,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коэффициент территориальных участков,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воп</w:t>
      </w:r>
      <w:r>
        <w:rPr>
          <w:rFonts w:ascii="Times New Roman"/>
          <w:b w:val="false"/>
          <w:i w:val="false"/>
          <w:color w:val="000000"/>
          <w:sz w:val="28"/>
        </w:rPr>
        <w:t xml:space="preserve"> х 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мо</w:t>
      </w:r>
      <w:r>
        <w:rPr>
          <w:rFonts w:ascii="Times New Roman"/>
          <w:b w:val="false"/>
          <w:i w:val="false"/>
          <w:color w:val="000000"/>
          <w:sz w:val="28"/>
        </w:rPr>
        <w:t xml:space="preserve"> х К</w:t>
      </w:r>
      <w:r>
        <w:rPr>
          <w:rFonts w:ascii="Times New Roman"/>
          <w:b w:val="false"/>
          <w:i w:val="false"/>
          <w:color w:val="000000"/>
          <w:vertAlign w:val="subscript"/>
        </w:rPr>
        <w:t>макс.балл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количество участков терапевтического профиля;</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количество участков педиатрического профиля;</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количество участков врачей общей практики (далее – ВОП);</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мо</w:t>
      </w:r>
      <w:r>
        <w:rPr>
          <w:rFonts w:ascii="Times New Roman"/>
          <w:b w:val="false"/>
          <w:i w:val="false"/>
          <w:color w:val="000000"/>
          <w:sz w:val="28"/>
        </w:rPr>
        <w:t xml:space="preserve"> – общее количество участков данной конкретного субъекта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максимальная сумма баллов по всем индикаторам, указанным в таблице максимально возможных баллов для субъектов ПМСП в разрезе профилей территориальных участков согласно приложению 2 к настоящей Методике;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и К</w:t>
      </w:r>
      <w:r>
        <w:rPr>
          <w:rFonts w:ascii="Times New Roman"/>
          <w:b w:val="false"/>
          <w:i w:val="false"/>
          <w:color w:val="000000"/>
          <w:vertAlign w:val="subscript"/>
        </w:rPr>
        <w:t>воп</w:t>
      </w:r>
      <w:r>
        <w:rPr>
          <w:rFonts w:ascii="Times New Roman"/>
          <w:b w:val="false"/>
          <w:i w:val="false"/>
          <w:color w:val="000000"/>
          <w:sz w:val="28"/>
        </w:rPr>
        <w:t xml:space="preserve"> – сумма баллов на участке каждого профиля, указанные в таблице согласно приложению 2 к настоящей Методике;</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у</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xml:space="preserve"> – коэффициент обеспеченности средним медицинским персоналом рассчитывается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факт./смр воп</w:t>
      </w:r>
      <w:r>
        <w:rPr>
          <w:rFonts w:ascii="Times New Roman"/>
          <w:b w:val="false"/>
          <w:i w:val="false"/>
          <w:color w:val="000000"/>
          <w:sz w:val="28"/>
        </w:rPr>
        <w:t>+К</w:t>
      </w:r>
      <w:r>
        <w:rPr>
          <w:rFonts w:ascii="Times New Roman"/>
          <w:b w:val="false"/>
          <w:i w:val="false"/>
          <w:color w:val="000000"/>
          <w:vertAlign w:val="subscript"/>
        </w:rPr>
        <w:t>факт./смр тер</w:t>
      </w:r>
      <w:r>
        <w:rPr>
          <w:rFonts w:ascii="Times New Roman"/>
          <w:b w:val="false"/>
          <w:i w:val="false"/>
          <w:color w:val="000000"/>
          <w:sz w:val="28"/>
        </w:rPr>
        <w:t>+К</w:t>
      </w:r>
      <w:r>
        <w:rPr>
          <w:rFonts w:ascii="Times New Roman"/>
          <w:b w:val="false"/>
          <w:i w:val="false"/>
          <w:color w:val="000000"/>
          <w:vertAlign w:val="subscript"/>
        </w:rPr>
        <w:t>факт./смр пед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Ч</w:t>
      </w:r>
      <w:r>
        <w:rPr>
          <w:rFonts w:ascii="Times New Roman"/>
          <w:b w:val="false"/>
          <w:i w:val="false"/>
          <w:color w:val="000000"/>
          <w:vertAlign w:val="subscript"/>
        </w:rPr>
        <w:t>нас.факт./воп</w:t>
      </w:r>
      <w:r>
        <w:rPr>
          <w:rFonts w:ascii="Times New Roman"/>
          <w:b w:val="false"/>
          <w:i w:val="false"/>
          <w:color w:val="000000"/>
          <w:sz w:val="28"/>
        </w:rPr>
        <w:t>/ Ч</w:t>
      </w:r>
      <w:r>
        <w:rPr>
          <w:rFonts w:ascii="Times New Roman"/>
          <w:b w:val="false"/>
          <w:i w:val="false"/>
          <w:color w:val="000000"/>
          <w:vertAlign w:val="subscript"/>
        </w:rPr>
        <w:t>нас. норм/воп</w:t>
      </w:r>
      <w:r>
        <w:rPr>
          <w:rFonts w:ascii="Times New Roman"/>
          <w:b w:val="false"/>
          <w:i w:val="false"/>
          <w:color w:val="000000"/>
          <w:sz w:val="28"/>
        </w:rPr>
        <w:t>+ Ч</w:t>
      </w:r>
      <w:r>
        <w:rPr>
          <w:rFonts w:ascii="Times New Roman"/>
          <w:b w:val="false"/>
          <w:i w:val="false"/>
          <w:color w:val="000000"/>
          <w:vertAlign w:val="subscript"/>
        </w:rPr>
        <w:t>нас.факт./тер.</w:t>
      </w:r>
      <w:r>
        <w:rPr>
          <w:rFonts w:ascii="Times New Roman"/>
          <w:b w:val="false"/>
          <w:i w:val="false"/>
          <w:color w:val="000000"/>
          <w:sz w:val="28"/>
        </w:rPr>
        <w:t>/Ч</w:t>
      </w:r>
      <w:r>
        <w:rPr>
          <w:rFonts w:ascii="Times New Roman"/>
          <w:b w:val="false"/>
          <w:i w:val="false"/>
          <w:color w:val="000000"/>
          <w:vertAlign w:val="subscript"/>
        </w:rPr>
        <w:t>нас. норм/тер.</w:t>
      </w:r>
      <w:r>
        <w:rPr>
          <w:rFonts w:ascii="Times New Roman"/>
          <w:b w:val="false"/>
          <w:i w:val="false"/>
          <w:color w:val="000000"/>
          <w:sz w:val="28"/>
        </w:rPr>
        <w:t>+</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нас.факт./пед.</w:t>
      </w:r>
      <w:r>
        <w:rPr>
          <w:rFonts w:ascii="Times New Roman"/>
          <w:b w:val="false"/>
          <w:i w:val="false"/>
          <w:color w:val="000000"/>
          <w:sz w:val="28"/>
        </w:rPr>
        <w:t>/Ч</w:t>
      </w:r>
      <w:r>
        <w:rPr>
          <w:rFonts w:ascii="Times New Roman"/>
          <w:b w:val="false"/>
          <w:i w:val="false"/>
          <w:color w:val="000000"/>
          <w:vertAlign w:val="subscript"/>
        </w:rPr>
        <w:t>нас. норм/пед.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смр воп</w:t>
      </w:r>
      <w:r>
        <w:rPr>
          <w:rFonts w:ascii="Times New Roman"/>
          <w:b w:val="false"/>
          <w:i w:val="false"/>
          <w:color w:val="000000"/>
          <w:sz w:val="28"/>
        </w:rPr>
        <w:t>, К</w:t>
      </w:r>
      <w:r>
        <w:rPr>
          <w:rFonts w:ascii="Times New Roman"/>
          <w:b w:val="false"/>
          <w:i w:val="false"/>
          <w:color w:val="000000"/>
          <w:vertAlign w:val="subscript"/>
        </w:rPr>
        <w:t>факт./смр тер</w:t>
      </w:r>
      <w:r>
        <w:rPr>
          <w:rFonts w:ascii="Times New Roman"/>
          <w:b w:val="false"/>
          <w:i w:val="false"/>
          <w:color w:val="000000"/>
          <w:sz w:val="28"/>
        </w:rPr>
        <w:t>, К</w:t>
      </w:r>
      <w:r>
        <w:rPr>
          <w:rFonts w:ascii="Times New Roman"/>
          <w:b w:val="false"/>
          <w:i w:val="false"/>
          <w:color w:val="000000"/>
          <w:vertAlign w:val="subscript"/>
        </w:rPr>
        <w:t>факт./смр пед</w:t>
      </w:r>
      <w:r>
        <w:rPr>
          <w:rFonts w:ascii="Times New Roman"/>
          <w:b w:val="false"/>
          <w:i w:val="false"/>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портала "РПН" на последнюю дату месяца в отчетном периоде;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w:t>
      </w:r>
      <w:r>
        <w:rPr>
          <w:rFonts w:ascii="Times New Roman"/>
          <w:b w:val="false"/>
          <w:i w:val="false"/>
          <w:color w:val="000000"/>
          <w:vertAlign w:val="subscript"/>
        </w:rPr>
        <w:t>воп, тер, пед.)</w:t>
      </w:r>
      <w:r>
        <w:rPr>
          <w:rFonts w:ascii="Times New Roman"/>
          <w:b w:val="false"/>
          <w:i w:val="false"/>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нас.норм.(воп, тер., пед.)</w:t>
      </w:r>
      <w:r>
        <w:rPr>
          <w:rFonts w:ascii="Times New Roman"/>
          <w:b w:val="false"/>
          <w:i w:val="false"/>
          <w:color w:val="000000"/>
          <w:sz w:val="28"/>
        </w:rPr>
        <w:t xml:space="preserve"> - нормативная численность прикрепленного населения на территориальном участке соответствующего профиля, утвержденная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(далее – Приказ № 238), и определенная на 1 должность медицинской сестры из расчета 2 медицинской сестры на участке.</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смр</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смр</w:t>
      </w:r>
      <w:r>
        <w:rPr>
          <w:rFonts w:ascii="Times New Roman"/>
          <w:b w:val="false"/>
          <w:i w:val="false"/>
          <w:color w:val="000000"/>
          <w:sz w:val="28"/>
        </w:rPr>
        <w:t xml:space="preserve"> по конкретному субъекту ПМСП за отчетный период учитывается следующее:</w:t>
      </w:r>
    </w:p>
    <w:p>
      <w:pPr>
        <w:spacing w:after="0"/>
        <w:ind w:left="0"/>
        <w:jc w:val="both"/>
      </w:pPr>
      <w:r>
        <w:rPr>
          <w:rFonts w:ascii="Times New Roman"/>
          <w:b w:val="false"/>
          <w:i w:val="false"/>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pPr>
        <w:spacing w:after="0"/>
        <w:ind w:left="0"/>
        <w:jc w:val="both"/>
      </w:pPr>
      <w:r>
        <w:rPr>
          <w:rFonts w:ascii="Times New Roman"/>
          <w:b w:val="false"/>
          <w:i w:val="false"/>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 коэффициент обеспеченности социальными работниками и психологами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w:t>
      </w:r>
      <w:r>
        <w:rPr>
          <w:rFonts w:ascii="Times New Roman"/>
          <w:b w:val="false"/>
          <w:i w:val="false"/>
          <w:color w:val="000000"/>
          <w:vertAlign w:val="subscript"/>
        </w:rPr>
        <w:t>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 xml:space="preserve"> – фактическое количество штатных единиц социальных работников и психологов в конкретном субъекте ПМСП по данным портала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w:t>
      </w:r>
      <w:r>
        <w:rPr>
          <w:rFonts w:ascii="Times New Roman"/>
          <w:b w:val="false"/>
          <w:i w:val="false"/>
          <w:color w:val="000000"/>
          <w:vertAlign w:val="subscript"/>
        </w:rPr>
        <w:t>соц.раб.</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xml:space="preserve"> = Ч</w:t>
      </w:r>
      <w:r>
        <w:rPr>
          <w:rFonts w:ascii="Times New Roman"/>
          <w:b w:val="false"/>
          <w:i w:val="false"/>
          <w:color w:val="000000"/>
          <w:vertAlign w:val="subscript"/>
        </w:rPr>
        <w:t xml:space="preserve">нас. мо </w:t>
      </w:r>
      <w:r>
        <w:rPr>
          <w:rFonts w:ascii="Times New Roman"/>
          <w:b w:val="false"/>
          <w:i w:val="false"/>
          <w:color w:val="000000"/>
          <w:sz w:val="28"/>
        </w:rPr>
        <w:t>/Ч</w:t>
      </w:r>
      <w:r>
        <w:rPr>
          <w:rFonts w:ascii="Times New Roman"/>
          <w:b w:val="false"/>
          <w:i w:val="false"/>
          <w:color w:val="000000"/>
          <w:vertAlign w:val="subscript"/>
        </w:rPr>
        <w:t>нас.норм./соц.раб</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w:t>
      </w:r>
      <w:r>
        <w:rPr>
          <w:rFonts w:ascii="Times New Roman"/>
          <w:b w:val="false"/>
          <w:i w:val="false"/>
          <w:color w:val="000000"/>
          <w:vertAlign w:val="subscript"/>
        </w:rPr>
        <w:t>соц.раб</w:t>
      </w:r>
      <w:r>
        <w:rPr>
          <w:rFonts w:ascii="Times New Roman"/>
          <w:b w:val="false"/>
          <w:i w:val="false"/>
          <w:color w:val="000000"/>
          <w:sz w:val="28"/>
        </w:rPr>
        <w:t xml:space="preserve"> - нормативная численность прикрепленного населения к субъекту ПМСП для установления одной должности социального работника, утвержденная </w:t>
      </w:r>
      <w:r>
        <w:rPr>
          <w:rFonts w:ascii="Times New Roman"/>
          <w:b w:val="false"/>
          <w:i w:val="false"/>
          <w:color w:val="000000"/>
          <w:sz w:val="28"/>
        </w:rPr>
        <w:t xml:space="preserve"> Приказом № 238</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Ч</w:t>
      </w:r>
      <w:r>
        <w:rPr>
          <w:rFonts w:ascii="Times New Roman"/>
          <w:b w:val="false"/>
          <w:i w:val="false"/>
          <w:color w:val="000000"/>
          <w:vertAlign w:val="subscript"/>
        </w:rPr>
        <w:t>нас. мо.</w:t>
      </w:r>
      <w:r>
        <w:rPr>
          <w:rFonts w:ascii="Times New Roman"/>
          <w:b w:val="false"/>
          <w:i w:val="false"/>
          <w:color w:val="000000"/>
          <w:sz w:val="28"/>
        </w:rPr>
        <w:t>/Ч</w:t>
      </w:r>
      <w:r>
        <w:rPr>
          <w:rFonts w:ascii="Times New Roman"/>
          <w:b w:val="false"/>
          <w:i w:val="false"/>
          <w:color w:val="000000"/>
          <w:vertAlign w:val="subscript"/>
        </w:rPr>
        <w:t>нас.норм./психолог</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организации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w:t>
      </w:r>
      <w:r>
        <w:rPr>
          <w:rFonts w:ascii="Times New Roman"/>
          <w:b w:val="false"/>
          <w:i w:val="false"/>
          <w:color w:val="000000"/>
          <w:vertAlign w:val="subscript"/>
        </w:rPr>
        <w:t>психолог</w:t>
      </w:r>
      <w:r>
        <w:rPr>
          <w:rFonts w:ascii="Times New Roman"/>
          <w:b w:val="false"/>
          <w:i w:val="false"/>
          <w:color w:val="000000"/>
          <w:sz w:val="28"/>
        </w:rPr>
        <w:t xml:space="preserve"> - нормативная численность прикрепленного населения к субъекту ПМСП для установления одной должности психолога, утвержденная </w:t>
      </w:r>
      <w:r>
        <w:rPr>
          <w:rFonts w:ascii="Times New Roman"/>
          <w:b w:val="false"/>
          <w:i w:val="false"/>
          <w:color w:val="000000"/>
          <w:sz w:val="28"/>
        </w:rPr>
        <w:t xml:space="preserve"> Приказом № 238</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соц.раб/психолог</w:t>
      </w:r>
      <w:r>
        <w:rPr>
          <w:rFonts w:ascii="Times New Roman"/>
          <w:b w:val="false"/>
          <w:i w:val="false"/>
          <w:color w:val="000000"/>
          <w:sz w:val="28"/>
        </w:rPr>
        <w:t xml:space="preserve"> равный 1,0.</w:t>
      </w:r>
    </w:p>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соц.раб/психолог</w:t>
      </w:r>
      <w:r>
        <w:rPr>
          <w:rFonts w:ascii="Times New Roman"/>
          <w:b w:val="false"/>
          <w:i w:val="false"/>
          <w:color w:val="000000"/>
          <w:sz w:val="28"/>
        </w:rPr>
        <w:t xml:space="preserve"> по конкретному субъекту ПМСП за отчетный период для всех субъектов ПМСП учитывается следующее:</w:t>
      </w:r>
    </w:p>
    <w:p>
      <w:pPr>
        <w:spacing w:after="0"/>
        <w:ind w:left="0"/>
        <w:jc w:val="both"/>
      </w:pPr>
      <w:r>
        <w:rPr>
          <w:rFonts w:ascii="Times New Roman"/>
          <w:b w:val="false"/>
          <w:i w:val="false"/>
          <w:color w:val="000000"/>
          <w:sz w:val="28"/>
        </w:rPr>
        <w:t>
      в случае если фактическое значение превышает 1,0, то значение выставляется равное 1,0;</w:t>
      </w:r>
    </w:p>
    <w:p>
      <w:pPr>
        <w:spacing w:after="0"/>
        <w:ind w:left="0"/>
        <w:jc w:val="both"/>
      </w:pPr>
      <w:r>
        <w:rPr>
          <w:rFonts w:ascii="Times New Roman"/>
          <w:b w:val="false"/>
          <w:i w:val="false"/>
          <w:color w:val="000000"/>
          <w:sz w:val="28"/>
        </w:rPr>
        <w:t>
      в случае отсутствия социальных работников и психологов, значение выставляется равное 0.</w:t>
      </w:r>
    </w:p>
    <w:p>
      <w:pPr>
        <w:spacing w:after="0"/>
        <w:ind w:left="0"/>
        <w:jc w:val="both"/>
      </w:pPr>
      <w:r>
        <w:rPr>
          <w:rFonts w:ascii="Times New Roman"/>
          <w:b w:val="false"/>
          <w:i w:val="false"/>
          <w:color w:val="000000"/>
          <w:sz w:val="28"/>
        </w:rPr>
        <w:t>
      В случае, если уровень вклада субъекта ПМСП (Ц%):</w:t>
      </w:r>
    </w:p>
    <w:p>
      <w:pPr>
        <w:spacing w:after="0"/>
        <w:ind w:left="0"/>
        <w:jc w:val="both"/>
      </w:pPr>
      <w:r>
        <w:rPr>
          <w:rFonts w:ascii="Times New Roman"/>
          <w:b w:val="false"/>
          <w:i w:val="false"/>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со 2-м этапом шага 7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pPr>
        <w:spacing w:after="0"/>
        <w:ind w:left="0"/>
        <w:jc w:val="both"/>
      </w:pPr>
      <w:r>
        <w:rPr>
          <w:rFonts w:ascii="Times New Roman"/>
          <w:b w:val="false"/>
          <w:i w:val="false"/>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V</w:t>
      </w:r>
      <w:r>
        <w:rPr>
          <w:rFonts w:ascii="Times New Roman"/>
          <w:b w:val="false"/>
          <w:i w:val="false"/>
          <w:color w:val="000000"/>
          <w:vertAlign w:val="subscript"/>
        </w:rPr>
        <w:t>план.скпн мо</w:t>
      </w:r>
      <w:r>
        <w:rPr>
          <w:rFonts w:ascii="Times New Roman"/>
          <w:b w:val="false"/>
          <w:i w:val="false"/>
          <w:color w:val="000000"/>
          <w:sz w:val="28"/>
        </w:rPr>
        <w:t xml:space="preserve"> - V</w:t>
      </w:r>
      <w:r>
        <w:rPr>
          <w:rFonts w:ascii="Times New Roman"/>
          <w:b w:val="false"/>
          <w:i w:val="false"/>
          <w:color w:val="000000"/>
          <w:vertAlign w:val="subscript"/>
        </w:rPr>
        <w:t>факт.скпн мо</w:t>
      </w:r>
      <w:r>
        <w:rPr>
          <w:rFonts w:ascii="Times New Roman"/>
          <w:b w:val="false"/>
          <w:i w:val="false"/>
          <w:color w:val="000000"/>
          <w:sz w:val="28"/>
        </w:rPr>
        <w:t>1, где:</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 объем средств фонда дополнительного стимулирования субъектов ПМСП за достижение конечного результата 80% и более в отчетном периоде;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плановый объем финансирования СКПН субъекта ПМСП на отчетный период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Ч</w:t>
      </w:r>
      <w:r>
        <w:rPr>
          <w:rFonts w:ascii="Times New Roman"/>
          <w:b w:val="false"/>
          <w:i w:val="false"/>
          <w:color w:val="000000"/>
          <w:vertAlign w:val="subscript"/>
        </w:rPr>
        <w:t>нас. мо</w:t>
      </w:r>
      <w:r>
        <w:rPr>
          <w:rFonts w:ascii="Times New Roman"/>
          <w:b w:val="false"/>
          <w:i w:val="false"/>
          <w:color w:val="000000"/>
          <w:sz w:val="28"/>
        </w:rPr>
        <w:t xml:space="preserve"> *(V</w:t>
      </w:r>
      <w:r>
        <w:rPr>
          <w:rFonts w:ascii="Times New Roman"/>
          <w:b w:val="false"/>
          <w:i w:val="false"/>
          <w:color w:val="000000"/>
          <w:vertAlign w:val="subscript"/>
        </w:rPr>
        <w:t>скпн рег.</w:t>
      </w:r>
      <w:r>
        <w:rPr>
          <w:rFonts w:ascii="Times New Roman"/>
          <w:b w:val="false"/>
          <w:i w:val="false"/>
          <w:color w:val="000000"/>
          <w:sz w:val="28"/>
        </w:rPr>
        <w:t xml:space="preserve"> / Ч</w:t>
      </w:r>
      <w:r>
        <w:rPr>
          <w:rFonts w:ascii="Times New Roman"/>
          <w:b w:val="false"/>
          <w:i w:val="false"/>
          <w:color w:val="000000"/>
          <w:vertAlign w:val="subscript"/>
        </w:rPr>
        <w:t>нас. рег</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xml:space="preserve"> – объем финансирования СКПН по региону, предусмотренный на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рег.</w:t>
      </w:r>
      <w:r>
        <w:rPr>
          <w:rFonts w:ascii="Times New Roman"/>
          <w:b w:val="false"/>
          <w:i w:val="false"/>
          <w:color w:val="000000"/>
          <w:sz w:val="28"/>
        </w:rPr>
        <w:t xml:space="preserve"> – численность прикрепленного населения по региону, зарегистрированная в портале "РПН", в отчетном периоде на последнюю дату месяца;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w:t>
      </w:r>
      <w:r>
        <w:rPr>
          <w:rFonts w:ascii="Times New Roman"/>
          <w:b w:val="false"/>
          <w:i w:val="false"/>
          <w:color w:val="000000"/>
          <w:vertAlign w:val="subscript"/>
        </w:rPr>
        <w:t xml:space="preserve">равный 1,0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фактический объем финансирования СКПН по субъекту ПМСП за отчетный период;</w:t>
      </w:r>
    </w:p>
    <w:p>
      <w:pPr>
        <w:spacing w:after="0"/>
        <w:ind w:left="0"/>
        <w:jc w:val="both"/>
      </w:pPr>
      <w:r>
        <w:rPr>
          <w:rFonts w:ascii="Times New Roman"/>
          <w:b w:val="false"/>
          <w:i w:val="false"/>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p>
      <w:pPr>
        <w:spacing w:after="0"/>
        <w:ind w:left="0"/>
        <w:jc w:val="both"/>
      </w:pPr>
      <w:r>
        <w:rPr>
          <w:rFonts w:ascii="Times New Roman"/>
          <w:b w:val="false"/>
          <w:i w:val="false"/>
          <w:color w:val="000000"/>
          <w:sz w:val="28"/>
        </w:rPr>
        <w:t>
            определяется стоимость 1 балла на дополнительное стимулирование субъекта ПМСП – лидера из средств фонда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мо-80%</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 </w:t>
      </w:r>
      <w:r>
        <w:rPr>
          <w:rFonts w:ascii="Times New Roman"/>
          <w:b w:val="false"/>
          <w:i w:val="false"/>
          <w:color w:val="000000"/>
          <w:vertAlign w:val="subscript"/>
        </w:rPr>
        <w:t>мо-80%</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xml:space="preserve"> – дополнительная сумма СКПН, установленная в расчете на 1 балл для субъектов ПМСП – лидеров;</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мо–80%</w:t>
      </w:r>
      <w:r>
        <w:rPr>
          <w:rFonts w:ascii="Times New Roman"/>
          <w:b w:val="false"/>
          <w:i w:val="false"/>
          <w:color w:val="000000"/>
          <w:sz w:val="28"/>
        </w:rPr>
        <w:t xml:space="preserve"> – численность прикрепленного населения субъекта ПМСП – лидера,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 сумма фактических баллов по каждому индикатору конечного результата субъекта ПМСП – лидера за отчетный период;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мо-80%</w:t>
      </w:r>
      <w:r>
        <w:rPr>
          <w:rFonts w:ascii="Times New Roman"/>
          <w:b w:val="false"/>
          <w:i w:val="false"/>
          <w:color w:val="000000"/>
          <w:sz w:val="28"/>
        </w:rPr>
        <w:t xml:space="preserve"> - коэффициент комплексности медицинских услуг при оказании ГОБМП субъекта ПМСП - лидера за отчетный период;</w:t>
      </w:r>
    </w:p>
    <w:p>
      <w:pPr>
        <w:spacing w:after="0"/>
        <w:ind w:left="0"/>
        <w:jc w:val="both"/>
      </w:pPr>
      <w:r>
        <w:rPr>
          <w:rFonts w:ascii="Times New Roman"/>
          <w:b w:val="false"/>
          <w:i w:val="false"/>
          <w:color w:val="000000"/>
          <w:sz w:val="28"/>
        </w:rPr>
        <w:t>
      определяется сумма дополнительного стимулирования из фонда для субъекта ПМСП – лидера по формуле:</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(Ч</w:t>
      </w:r>
      <w:r>
        <w:rPr>
          <w:rFonts w:ascii="Times New Roman"/>
          <w:b w:val="false"/>
          <w:i w:val="false"/>
          <w:color w:val="000000"/>
          <w:vertAlign w:val="subscript"/>
        </w:rPr>
        <w:t>нас. мо – 80%</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х S</w:t>
      </w:r>
      <w:r>
        <w:rPr>
          <w:rFonts w:ascii="Times New Roman"/>
          <w:b w:val="false"/>
          <w:i w:val="false"/>
          <w:color w:val="000000"/>
          <w:vertAlign w:val="subscript"/>
        </w:rPr>
        <w:t>доп.скпн_рег/балл</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p>
      <w:pPr>
        <w:spacing w:after="0"/>
        <w:ind w:left="0"/>
        <w:jc w:val="both"/>
      </w:pPr>
      <w:r>
        <w:rPr>
          <w:rFonts w:ascii="Times New Roman"/>
          <w:b w:val="false"/>
          <w:i w:val="false"/>
          <w:color w:val="000000"/>
          <w:sz w:val="28"/>
        </w:rPr>
        <w:t>
      В случае, если по области число субъектов ПМСП с уровнем вклада (Ц%) 80% и более составляет от общего числа субъектов ПМСП области:</w:t>
      </w:r>
    </w:p>
    <w:p>
      <w:pPr>
        <w:spacing w:after="0"/>
        <w:ind w:left="0"/>
        <w:jc w:val="both"/>
      </w:pPr>
      <w:r>
        <w:rPr>
          <w:rFonts w:ascii="Times New Roman"/>
          <w:b w:val="false"/>
          <w:i w:val="false"/>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pPr>
        <w:spacing w:after="0"/>
        <w:ind w:left="0"/>
        <w:jc w:val="both"/>
      </w:pPr>
      <w:r>
        <w:rPr>
          <w:rFonts w:ascii="Times New Roman"/>
          <w:b w:val="false"/>
          <w:i w:val="false"/>
          <w:color w:val="000000"/>
          <w:sz w:val="28"/>
        </w:rPr>
        <w:t>
      менее 20% - то оплата сумм СКПН субъектам ПМСП осуществляется в следующем порядке:</w:t>
      </w:r>
    </w:p>
    <w:p>
      <w:pPr>
        <w:spacing w:after="0"/>
        <w:ind w:left="0"/>
        <w:jc w:val="both"/>
      </w:pPr>
      <w:r>
        <w:rPr>
          <w:rFonts w:ascii="Times New Roman"/>
          <w:b w:val="false"/>
          <w:i w:val="false"/>
          <w:color w:val="000000"/>
          <w:sz w:val="28"/>
        </w:rPr>
        <w:t>
      субъектам ПМСП с уровнем вклада (Ц%) до 80% - оплата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pPr>
        <w:spacing w:after="0"/>
        <w:ind w:left="0"/>
        <w:jc w:val="both"/>
      </w:pPr>
      <w:r>
        <w:rPr>
          <w:rFonts w:ascii="Times New Roman"/>
          <w:b w:val="false"/>
          <w:i w:val="false"/>
          <w:color w:val="000000"/>
          <w:sz w:val="28"/>
        </w:rPr>
        <w:t>
      Расчет стоимости 1 балла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p>
      <w:pPr>
        <w:spacing w:after="0"/>
        <w:ind w:left="0"/>
        <w:jc w:val="both"/>
      </w:pPr>
      <w:r>
        <w:rPr>
          <w:rFonts w:ascii="Times New Roman"/>
          <w:b w:val="false"/>
          <w:i w:val="false"/>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p>
      <w:pPr>
        <w:spacing w:after="0"/>
        <w:ind w:left="0"/>
        <w:jc w:val="both"/>
      </w:pPr>
      <w:r>
        <w:rPr>
          <w:rFonts w:ascii="Times New Roman"/>
          <w:b w:val="false"/>
          <w:i w:val="false"/>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1+ Ф</w:t>
      </w:r>
      <w:r>
        <w:rPr>
          <w:rFonts w:ascii="Times New Roman"/>
          <w:b w:val="false"/>
          <w:i w:val="false"/>
          <w:color w:val="000000"/>
          <w:vertAlign w:val="subscript"/>
        </w:rPr>
        <w:t>мо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объем финансирования СКПН для субъекта ПМСП – лидера с учетом дополнительного стимулирования из средств фонда за отчетный период.</w:t>
      </w:r>
    </w:p>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 мо</w:t>
      </w:r>
      <w:r>
        <w:rPr>
          <w:rFonts w:ascii="Times New Roman"/>
          <w:b w:val="false"/>
          <w:i w:val="false"/>
          <w:color w:val="000000"/>
          <w:sz w:val="28"/>
        </w:rPr>
        <w:t>2)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p>
      <w:pPr>
        <w:spacing w:after="0"/>
        <w:ind w:left="0"/>
        <w:jc w:val="both"/>
      </w:pPr>
      <w:r>
        <w:rPr>
          <w:rFonts w:ascii="Times New Roman"/>
          <w:b w:val="false"/>
          <w:i w:val="false"/>
          <w:color w:val="000000"/>
          <w:sz w:val="28"/>
        </w:rPr>
        <w:t>
      1) определяется V</w:t>
      </w:r>
      <w:r>
        <w:rPr>
          <w:rFonts w:ascii="Times New Roman"/>
          <w:b w:val="false"/>
          <w:i w:val="false"/>
          <w:color w:val="000000"/>
          <w:vertAlign w:val="subscript"/>
        </w:rPr>
        <w:t>факт.скпн мо</w:t>
      </w:r>
      <w:r>
        <w:rPr>
          <w:rFonts w:ascii="Times New Roman"/>
          <w:b w:val="false"/>
          <w:i w:val="false"/>
          <w:color w:val="000000"/>
          <w:sz w:val="28"/>
        </w:rPr>
        <w:t xml:space="preserve">3 по следующей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3 = Ч</w:t>
      </w:r>
      <w:r>
        <w:rPr>
          <w:rFonts w:ascii="Times New Roman"/>
          <w:b w:val="false"/>
          <w:i w:val="false"/>
          <w:color w:val="000000"/>
          <w:vertAlign w:val="subscript"/>
        </w:rPr>
        <w:t>нас. мо – 80%</w:t>
      </w:r>
      <w:r>
        <w:rPr>
          <w:rFonts w:ascii="Times New Roman"/>
          <w:b w:val="false"/>
          <w:i w:val="false"/>
          <w:color w:val="000000"/>
          <w:sz w:val="28"/>
        </w:rPr>
        <w:t xml:space="preserve"> х 150, где:</w:t>
      </w:r>
    </w:p>
    <w:p>
      <w:pPr>
        <w:spacing w:after="0"/>
        <w:ind w:left="0"/>
        <w:jc w:val="both"/>
      </w:pPr>
      <w:r>
        <w:rPr>
          <w:rFonts w:ascii="Times New Roman"/>
          <w:b w:val="false"/>
          <w:i w:val="false"/>
          <w:color w:val="000000"/>
          <w:sz w:val="28"/>
        </w:rPr>
        <w:t>
            150 – максимальная сумма СКПН в расчете на 1 прикрепленного человека населения за отчетный период, тенге;</w:t>
      </w:r>
    </w:p>
    <w:p>
      <w:pPr>
        <w:spacing w:after="0"/>
        <w:ind w:left="0"/>
        <w:jc w:val="both"/>
      </w:pPr>
      <w:r>
        <w:rPr>
          <w:rFonts w:ascii="Times New Roman"/>
          <w:b w:val="false"/>
          <w:i w:val="false"/>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 по следующей формуле: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остаток</w:t>
      </w: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3</w:t>
      </w:r>
    </w:p>
    <w:p>
      <w:pPr>
        <w:spacing w:after="0"/>
        <w:ind w:left="0"/>
        <w:jc w:val="both"/>
      </w:pPr>
      <w:r>
        <w:rPr>
          <w:rFonts w:ascii="Times New Roman"/>
          <w:b w:val="false"/>
          <w:i w:val="false"/>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pPr>
        <w:spacing w:after="0"/>
        <w:ind w:left="0"/>
        <w:jc w:val="both"/>
      </w:pPr>
      <w:r>
        <w:rPr>
          <w:rFonts w:ascii="Times New Roman"/>
          <w:b w:val="false"/>
          <w:i w:val="false"/>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V</w:t>
      </w:r>
      <w:r>
        <w:rPr>
          <w:rFonts w:ascii="Times New Roman"/>
          <w:b w:val="false"/>
          <w:i w:val="false"/>
          <w:color w:val="000000"/>
          <w:vertAlign w:val="subscript"/>
        </w:rPr>
        <w:t>скпн мо</w:t>
      </w:r>
      <w:r>
        <w:rPr>
          <w:rFonts w:ascii="Times New Roman"/>
          <w:b w:val="false"/>
          <w:i w:val="false"/>
          <w:color w:val="000000"/>
          <w:sz w:val="28"/>
        </w:rPr>
        <w:t xml:space="preserve"> - V</w:t>
      </w:r>
      <w:r>
        <w:rPr>
          <w:rFonts w:ascii="Times New Roman"/>
          <w:b w:val="false"/>
          <w:i w:val="false"/>
          <w:color w:val="000000"/>
          <w:vertAlign w:val="subscript"/>
        </w:rPr>
        <w:t>повыш.кв</w:t>
      </w:r>
      <w:r>
        <w:rPr>
          <w:rFonts w:ascii="Times New Roman"/>
          <w:b w:val="false"/>
          <w:i w:val="false"/>
          <w:color w:val="000000"/>
          <w:sz w:val="28"/>
        </w:rPr>
        <w:t xml:space="preserve"> - V</w:t>
      </w:r>
      <w:r>
        <w:rPr>
          <w:rFonts w:ascii="Times New Roman"/>
          <w:b w:val="false"/>
          <w:i w:val="false"/>
          <w:color w:val="000000"/>
          <w:vertAlign w:val="subscript"/>
        </w:rPr>
        <w:t>вне уч.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объем финансовых средств, предназначенных на СКПН, для стимулирования участковой службы субъекта ПМСП за отчетный период;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w:t>
      </w:r>
      <w:r>
        <w:rPr>
          <w:rFonts w:ascii="Times New Roman"/>
          <w:b w:val="false"/>
          <w:i w:val="false"/>
          <w:color w:val="000000"/>
          <w:sz w:val="28"/>
        </w:rPr>
        <w:t xml:space="preserve"> – объем финансовых средств, предназначенных на СКПН, для субъекта ПМСП с уровнем вклада до 80% (V</w:t>
      </w:r>
      <w:r>
        <w:rPr>
          <w:rFonts w:ascii="Times New Roman"/>
          <w:b w:val="false"/>
          <w:i w:val="false"/>
          <w:color w:val="000000"/>
          <w:vertAlign w:val="subscript"/>
        </w:rPr>
        <w:t>факт.скпн мо</w:t>
      </w:r>
      <w:r>
        <w:rPr>
          <w:rFonts w:ascii="Times New Roman"/>
          <w:b w:val="false"/>
          <w:i w:val="false"/>
          <w:color w:val="000000"/>
          <w:sz w:val="28"/>
        </w:rPr>
        <w:t>1) или для субъекта ПМСП – лидера (V</w:t>
      </w:r>
      <w:r>
        <w:rPr>
          <w:rFonts w:ascii="Times New Roman"/>
          <w:b w:val="false"/>
          <w:i w:val="false"/>
          <w:color w:val="000000"/>
          <w:vertAlign w:val="subscript"/>
        </w:rPr>
        <w:t>факт.скпн мо</w:t>
      </w:r>
      <w:r>
        <w:rPr>
          <w:rFonts w:ascii="Times New Roman"/>
          <w:b w:val="false"/>
          <w:i w:val="false"/>
          <w:color w:val="000000"/>
          <w:sz w:val="28"/>
        </w:rPr>
        <w:t>2 или V</w:t>
      </w:r>
      <w:r>
        <w:rPr>
          <w:rFonts w:ascii="Times New Roman"/>
          <w:b w:val="false"/>
          <w:i w:val="false"/>
          <w:color w:val="000000"/>
          <w:vertAlign w:val="subscript"/>
        </w:rPr>
        <w:t>факт.скпн мо</w:t>
      </w:r>
      <w:r>
        <w:rPr>
          <w:rFonts w:ascii="Times New Roman"/>
          <w:b w:val="false"/>
          <w:i w:val="false"/>
          <w:color w:val="000000"/>
          <w:sz w:val="28"/>
        </w:rPr>
        <w:t>3) за отчетный период, рассчитанные согласно шага 7 настоящей Методики;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повыш.кв</w:t>
      </w:r>
      <w:r>
        <w:rPr>
          <w:rFonts w:ascii="Times New Roman"/>
          <w:b w:val="false"/>
          <w:i w:val="false"/>
          <w:color w:val="000000"/>
          <w:sz w:val="28"/>
        </w:rPr>
        <w:t xml:space="preserve"> – объем финансовых средств, предназначенный на СКПН, направляемый субъектом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вне уч.</w:t>
      </w:r>
      <w:r>
        <w:rPr>
          <w:rFonts w:ascii="Times New Roman"/>
          <w:b w:val="false"/>
          <w:i w:val="false"/>
          <w:color w:val="000000"/>
          <w:sz w:val="28"/>
        </w:rPr>
        <w:t xml:space="preserve"> – объем финансовых средств, предназначенный на СКПН на стимулирование дополнительного персонала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субъекта ПМСП после вычета суммы на повышение квалификации;</w:t>
      </w:r>
    </w:p>
    <w:p>
      <w:pPr>
        <w:spacing w:after="0"/>
        <w:ind w:left="0"/>
        <w:jc w:val="both"/>
      </w:pPr>
      <w:r>
        <w:rPr>
          <w:rFonts w:ascii="Times New Roman"/>
          <w:b w:val="false"/>
          <w:i w:val="false"/>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настоящей Методики.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настоящей Методики;</w:t>
      </w:r>
    </w:p>
    <w:p>
      <w:pPr>
        <w:spacing w:after="0"/>
        <w:ind w:left="0"/>
        <w:jc w:val="both"/>
      </w:pPr>
      <w:r>
        <w:rPr>
          <w:rFonts w:ascii="Times New Roman"/>
          <w:b w:val="false"/>
          <w:i w:val="false"/>
          <w:color w:val="000000"/>
          <w:sz w:val="28"/>
        </w:rPr>
        <w:t>
            3) вычисляется приведенный показатель индикатора конечного результата в баллах по участку (ППИ</w:t>
      </w:r>
      <w:r>
        <w:rPr>
          <w:rFonts w:ascii="Times New Roman"/>
          <w:b w:val="false"/>
          <w:i w:val="false"/>
          <w:color w:val="000000"/>
          <w:vertAlign w:val="subscript"/>
        </w:rPr>
        <w:t>уч.</w:t>
      </w:r>
      <w:r>
        <w:rPr>
          <w:rFonts w:ascii="Times New Roman"/>
          <w:b w:val="false"/>
          <w:i w:val="false"/>
          <w:color w:val="000000"/>
          <w:sz w:val="28"/>
        </w:rPr>
        <w:t>) в соответствии с 1-м этапом шага 4 настоящей Методики,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pPr>
        <w:spacing w:after="0"/>
        <w:ind w:left="0"/>
        <w:jc w:val="both"/>
      </w:pPr>
      <w:r>
        <w:rPr>
          <w:rFonts w:ascii="Times New Roman"/>
          <w:b w:val="false"/>
          <w:i w:val="false"/>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 по индикатору "Материнская смертность, предотвратимая на уровне ПМСП";</w:t>
      </w:r>
    </w:p>
    <w:p>
      <w:pPr>
        <w:spacing w:after="0"/>
        <w:ind w:left="0"/>
        <w:jc w:val="both"/>
      </w:pPr>
      <w:r>
        <w:rPr>
          <w:rFonts w:ascii="Times New Roman"/>
          <w:b w:val="false"/>
          <w:i w:val="false"/>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xml:space="preserve"> = Ч</w:t>
      </w:r>
      <w:r>
        <w:rPr>
          <w:rFonts w:ascii="Times New Roman"/>
          <w:b w:val="false"/>
          <w:i w:val="false"/>
          <w:color w:val="000000"/>
          <w:vertAlign w:val="subscript"/>
        </w:rPr>
        <w:t>нас. уч.</w:t>
      </w:r>
      <w:r>
        <w:rPr>
          <w:rFonts w:ascii="Times New Roman"/>
          <w:b w:val="false"/>
          <w:i w:val="false"/>
          <w:color w:val="000000"/>
          <w:sz w:val="28"/>
        </w:rPr>
        <w:t xml:space="preserve"> х S</w:t>
      </w:r>
      <w:r>
        <w:rPr>
          <w:rFonts w:ascii="Times New Roman"/>
          <w:b w:val="false"/>
          <w:i w:val="false"/>
          <w:color w:val="000000"/>
          <w:vertAlign w:val="subscript"/>
        </w:rPr>
        <w:t>скпн_уч/балл</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медицинские сестры общей практики и участковой службы, акушерки, оказывающие медицинские услуги в условиях территориального участка, социальные работники и психологи);</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нас.уч.</w:t>
      </w:r>
      <w:r>
        <w:rPr>
          <w:rFonts w:ascii="Times New Roman"/>
          <w:b w:val="false"/>
          <w:i w:val="false"/>
          <w:color w:val="000000"/>
          <w:sz w:val="28"/>
        </w:rPr>
        <w:t xml:space="preserve"> – численность прикрепленного населения к участку, зарегистрированная в портале "РПН" в отчетном периоде на последнюю дату месяца;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сумма СКПН, установленная для участковой службы в отчетном периоде в расчете на 1 балл, определяется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V</w:t>
      </w:r>
      <w:r>
        <w:rPr>
          <w:rFonts w:ascii="Times New Roman"/>
          <w:b w:val="false"/>
          <w:i w:val="false"/>
          <w:color w:val="000000"/>
          <w:vertAlign w:val="subscript"/>
        </w:rPr>
        <w:t>скпн уч.служба</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уч.</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объем финансовых средств, предназначенных на СКПН, для стимулирования участковой службы субъекта ПМСП за отчетный период;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нас.уч.</w:t>
      </w:r>
      <w:r>
        <w:rPr>
          <w:rFonts w:ascii="Times New Roman"/>
          <w:b w:val="false"/>
          <w:i w:val="false"/>
          <w:color w:val="000000"/>
          <w:sz w:val="28"/>
        </w:rPr>
        <w:t xml:space="preserve"> х</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 сумма произведений численности прикрепленного населения, зарегистрированной в портале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шаг 6: расчет суммы СКПН до уровня каждого работника ПМСП, осуществляется комиссией по оценке результатов и начислению выплат СКПН созданной приказом первого руководителя субъекта ПМСП в соответствии с </w:t>
      </w:r>
      <w:r>
        <w:rPr>
          <w:rFonts w:ascii="Times New Roman"/>
          <w:b w:val="false"/>
          <w:i w:val="false"/>
          <w:color w:val="000000"/>
          <w:sz w:val="28"/>
        </w:rPr>
        <w:t xml:space="preserve"> Приказом № 429</w:t>
      </w:r>
      <w:r>
        <w:rPr>
          <w:rFonts w:ascii="Times New Roman"/>
          <w:b w:val="false"/>
          <w:i w:val="false"/>
          <w:color w:val="000000"/>
          <w:sz w:val="28"/>
        </w:rPr>
        <w:t>.</w:t>
      </w:r>
    </w:p>
    <w:p>
      <w:pPr>
        <w:spacing w:after="0"/>
        <w:ind w:left="0"/>
        <w:jc w:val="both"/>
      </w:pPr>
      <w:r>
        <w:rPr>
          <w:rFonts w:ascii="Times New Roman"/>
          <w:b w:val="false"/>
          <w:i w:val="false"/>
          <w:color w:val="000000"/>
          <w:sz w:val="28"/>
        </w:rPr>
        <w:t>
      16. Расчет подушевого норматива субъектам ПМСП за оказание ПМСП осуществляется в соответствии с пунктом 13 в структуре гарантированного компонента комплексного подушевого норматива АПП и в соответствии с пунктом 39 в структуре гарантированного компонента комплексного подушевого норматива на сельское население в размере средств, определенных на оказание населению ПМСП.</w:t>
      </w:r>
    </w:p>
    <w:p>
      <w:pPr>
        <w:spacing w:after="0"/>
        <w:ind w:left="0"/>
        <w:jc w:val="both"/>
      </w:pPr>
      <w:r>
        <w:rPr>
          <w:rFonts w:ascii="Times New Roman"/>
          <w:b w:val="false"/>
          <w:i w:val="false"/>
          <w:color w:val="000000"/>
          <w:sz w:val="28"/>
        </w:rPr>
        <w:t>
      17. Оплата за оказание консультативно-диагностических услуг осуществляется по тарифу (средняя расчетная стоимость) на оказание одной консультативно-диагностической услуги на основе метода определения прямых и косвенных (накладных) расходов согласно тарификатору.</w:t>
      </w:r>
    </w:p>
    <w:p>
      <w:pPr>
        <w:spacing w:after="0"/>
        <w:ind w:left="0"/>
        <w:jc w:val="both"/>
      </w:pPr>
      <w:r>
        <w:rPr>
          <w:rFonts w:ascii="Times New Roman"/>
          <w:b w:val="false"/>
          <w:i w:val="false"/>
          <w:color w:val="000000"/>
          <w:sz w:val="28"/>
        </w:rPr>
        <w:t>
      18. Расчет тарифа (средней расчетной стоимости) на оказание одной консультативно-диагностической услуги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19. Расчет тарифа (средней расчетной стоимости) на оказание одной консультативно-диагностической услуги на основе метода определения прямых и косвенных (накладных) расходов осуществляется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w:t>
      </w: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+Р</w:t>
      </w:r>
      <w:r>
        <w:rPr>
          <w:rFonts w:ascii="Times New Roman"/>
          <w:b w:val="false"/>
          <w:i w:val="false"/>
          <w:color w:val="000000"/>
          <w:vertAlign w:val="subscript"/>
        </w:rPr>
        <w:t>накладные_i</w:t>
      </w: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w:t>
      </w:r>
      <w:r>
        <w:rPr>
          <w:rFonts w:ascii="Times New Roman"/>
          <w:b w:val="false"/>
          <w:i w:val="false"/>
          <w:color w:val="000000"/>
          <w:sz w:val="28"/>
        </w:rPr>
        <w:t xml:space="preserve"> – средняя расчетная стоимость одной консультативно-диагностической услуги, рассчитанная без учета поправочных коэффициентов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i – вид консультативно-диагностической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 xml:space="preserve"> – средняя расчетная сумма прямых расходов на оказание одной консультативно-диагностической услуги, которая включает расходы, предусмотренные подпунктами 1) и 2) на оплату труда основных медицинских работников субъектов здравоохранения, оказывающих i-ю медицинскую услугу, и пунктом 3) пункта 4 настоящей Методике;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 xml:space="preserve"> – сумма накладных расходов в расчете на одну консультативно-диагностическую услугу, которая включает расходы, предусмотренные подпунктами 1) и 2)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пункта 4 настоящих Правил, которые определяются по следующей формуле: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=ЗП</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накладные</w:t>
      </w:r>
      <w:r>
        <w:rPr>
          <w:rFonts w:ascii="Times New Roman"/>
          <w:b w:val="false"/>
          <w:i w:val="false"/>
          <w:color w:val="000000"/>
          <w:sz w:val="28"/>
        </w:rPr>
        <w:t>, где:</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i</w:t>
      </w:r>
      <w:r>
        <w:rPr>
          <w:rFonts w:ascii="Times New Roman"/>
          <w:b w:val="false"/>
          <w:i w:val="false"/>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1)-2) пункта 4 настоящих Правил;</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коэффициент накладных расходов, который определяется по следующей формуле: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Р</w:t>
      </w:r>
      <w:r>
        <w:rPr>
          <w:rFonts w:ascii="Times New Roman"/>
          <w:b w:val="false"/>
          <w:i w:val="false"/>
          <w:color w:val="000000"/>
          <w:vertAlign w:val="subscript"/>
        </w:rPr>
        <w:t>накладные_мо</w:t>
      </w:r>
      <w:r>
        <w:rPr>
          <w:rFonts w:ascii="Times New Roman"/>
          <w:b w:val="false"/>
          <w:i w:val="false"/>
          <w:color w:val="000000"/>
          <w:sz w:val="28"/>
        </w:rPr>
        <w:t xml:space="preserve"> / ЗП</w:t>
      </w:r>
      <w:r>
        <w:rPr>
          <w:rFonts w:ascii="Times New Roman"/>
          <w:b w:val="false"/>
          <w:i w:val="false"/>
          <w:color w:val="000000"/>
          <w:vertAlign w:val="subscript"/>
        </w:rPr>
        <w:t>мп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накладные_МО</w:t>
      </w:r>
      <w:r>
        <w:rPr>
          <w:rFonts w:ascii="Times New Roman"/>
          <w:b w:val="false"/>
          <w:i w:val="false"/>
          <w:color w:val="000000"/>
          <w:sz w:val="28"/>
        </w:rPr>
        <w:t xml:space="preserve"> – средняя расчетная сумма накладных расходов субъектов здравоохранения, оказывающих амбулаторно-поликлиническую помощь в рамках ГОБМП, которая включает расходы, предусмотренные подпунктами 5)-8) пункта 4 настоящих Правил;</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мп</w:t>
      </w:r>
      <w:r>
        <w:rPr>
          <w:rFonts w:ascii="Times New Roman"/>
          <w:b w:val="false"/>
          <w:i w:val="false"/>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1)-2) пункта 4 настоящих Правил;</w:t>
      </w:r>
    </w:p>
    <w:p>
      <w:pPr>
        <w:spacing w:after="0"/>
        <w:ind w:left="0"/>
        <w:jc w:val="both"/>
      </w:pPr>
      <w:r>
        <w:rPr>
          <w:rFonts w:ascii="Times New Roman"/>
          <w:b w:val="false"/>
          <w:i w:val="false"/>
          <w:color w:val="000000"/>
          <w:sz w:val="28"/>
        </w:rPr>
        <w:t>
      20. Расчет средняя расчетная стоимость одной консультативно-диагностической услуги, рассчитанная с учетом поправочных коэффициентов осуществляется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кду_i-РР</w:t>
      </w:r>
      <w:r>
        <w:rPr>
          <w:rFonts w:ascii="Times New Roman"/>
          <w:b w:val="false"/>
          <w:i w:val="false"/>
          <w:color w:val="000000"/>
          <w:sz w:val="28"/>
        </w:rPr>
        <w:t xml:space="preserve"> = С</w:t>
      </w:r>
      <w:r>
        <w:rPr>
          <w:rFonts w:ascii="Times New Roman"/>
          <w:b w:val="false"/>
          <w:i w:val="false"/>
          <w:color w:val="000000"/>
          <w:vertAlign w:val="subscript"/>
        </w:rPr>
        <w:t>кду_i-Р_n</w:t>
      </w:r>
      <w:r>
        <w:rPr>
          <w:rFonts w:ascii="Times New Roman"/>
          <w:b w:val="false"/>
          <w:i w:val="false"/>
          <w:color w:val="000000"/>
          <w:sz w:val="28"/>
        </w:rPr>
        <w:t>+ С</w:t>
      </w:r>
      <w:r>
        <w:rPr>
          <w:rFonts w:ascii="Times New Roman"/>
          <w:b w:val="false"/>
          <w:i w:val="false"/>
          <w:color w:val="000000"/>
          <w:vertAlign w:val="subscript"/>
        </w:rPr>
        <w:t>кду_i-Р_n</w:t>
      </w:r>
      <w:r>
        <w:rPr>
          <w:rFonts w:ascii="Times New Roman"/>
          <w:b w:val="false"/>
          <w:i w:val="false"/>
          <w:color w:val="000000"/>
          <w:sz w:val="28"/>
        </w:rPr>
        <w:t xml:space="preserve"> х(K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кду_i-Р_n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кду_i-РР</w:t>
      </w:r>
      <w:r>
        <w:rPr>
          <w:rFonts w:ascii="Times New Roman"/>
          <w:b w:val="false"/>
          <w:i w:val="false"/>
          <w:color w:val="000000"/>
          <w:sz w:val="28"/>
        </w:rPr>
        <w:t xml:space="preserve"> – средняя расчетная стоимость одной консультативно-диагностической услуги n вида, рассчитанная с учетом поправочных коэффициентов на основе метода определения прямых и косвенных (накладных) расходов в соответствии со стандартом оказания услуги;</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администратором бюджетных программ с целью корректировки стоимости консультативно-диагностической услуги с учетом расходов на оплату надбавки за работу в сельской местности, за работу в зонах экологического бедствия в соответствии с ЗРК </w:t>
      </w:r>
      <w:r>
        <w:rPr>
          <w:rFonts w:ascii="Times New Roman"/>
          <w:b w:val="false"/>
          <w:i w:val="false"/>
          <w:color w:val="000000"/>
          <w:sz w:val="28"/>
        </w:rPr>
        <w:t xml:space="preserve"> о соцзащите граждан Приаралья</w:t>
      </w:r>
      <w:r>
        <w:rPr>
          <w:rFonts w:ascii="Times New Roman"/>
          <w:b w:val="false"/>
          <w:i w:val="false"/>
          <w:color w:val="000000"/>
          <w:sz w:val="28"/>
        </w:rPr>
        <w:t xml:space="preserve"> и ЗРК </w:t>
      </w:r>
      <w:r>
        <w:rPr>
          <w:rFonts w:ascii="Times New Roman"/>
          <w:b w:val="false"/>
          <w:i w:val="false"/>
          <w:color w:val="000000"/>
          <w:sz w:val="28"/>
        </w:rPr>
        <w:t xml:space="preserve"> о соцзащите граждан СИЯП</w:t>
      </w:r>
      <w:r>
        <w:rPr>
          <w:rFonts w:ascii="Times New Roman"/>
          <w:b w:val="false"/>
          <w:i w:val="false"/>
          <w:color w:val="000000"/>
          <w:sz w:val="28"/>
        </w:rPr>
        <w:t>, за продолжительность отопительного сезона и другие коэффициенты, утвержденные администратором бюджетных программ.</w:t>
      </w:r>
    </w:p>
    <w:p>
      <w:pPr>
        <w:spacing w:after="0"/>
        <w:ind w:left="0"/>
        <w:jc w:val="both"/>
      </w:pPr>
      <w:r>
        <w:rPr>
          <w:rFonts w:ascii="Times New Roman"/>
          <w:b w:val="false"/>
          <w:i w:val="false"/>
          <w:color w:val="000000"/>
          <w:sz w:val="28"/>
        </w:rPr>
        <w:t>
      21. Расчет объема финансирования субъекта здравоохранения за оказание консультативно-диагностических услуг в рамках ГОБМП по средней расчетной стоимости одной консультативно-диагностической услуги, рассчитанной на основе метода определения прямых и косвенных (накладных) расходов, осуществляется по следующей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 i-Р</w:t>
      </w:r>
      <w:r>
        <w:rPr>
          <w:rFonts w:ascii="Times New Roman"/>
          <w:b w:val="false"/>
          <w:i w:val="false"/>
          <w:color w:val="000000"/>
          <w:sz w:val="28"/>
        </w:rPr>
        <w:t xml:space="preserve"> = Ч</w:t>
      </w:r>
      <w:r>
        <w:rPr>
          <w:rFonts w:ascii="Times New Roman"/>
          <w:b w:val="false"/>
          <w:i w:val="false"/>
          <w:color w:val="000000"/>
          <w:vertAlign w:val="subscript"/>
        </w:rPr>
        <w:t>кду_i-1</w:t>
      </w:r>
      <w:r>
        <w:rPr>
          <w:rFonts w:ascii="Times New Roman"/>
          <w:b w:val="false"/>
          <w:i w:val="false"/>
          <w:color w:val="000000"/>
          <w:sz w:val="28"/>
        </w:rPr>
        <w:t xml:space="preserve"> хС</w:t>
      </w:r>
      <w:r>
        <w:rPr>
          <w:rFonts w:ascii="Times New Roman"/>
          <w:b w:val="false"/>
          <w:i w:val="false"/>
          <w:color w:val="000000"/>
          <w:vertAlign w:val="subscript"/>
        </w:rPr>
        <w:t>кду_i-РР_1</w:t>
      </w:r>
      <w:r>
        <w:rPr>
          <w:rFonts w:ascii="Times New Roman"/>
          <w:b w:val="false"/>
          <w:i w:val="false"/>
          <w:color w:val="000000"/>
          <w:sz w:val="28"/>
        </w:rPr>
        <w:t xml:space="preserve"> + Ч</w:t>
      </w:r>
      <w:r>
        <w:rPr>
          <w:rFonts w:ascii="Times New Roman"/>
          <w:b w:val="false"/>
          <w:i w:val="false"/>
          <w:color w:val="000000"/>
          <w:vertAlign w:val="subscript"/>
        </w:rPr>
        <w:t>кду_i-n</w:t>
      </w:r>
      <w:r>
        <w:rPr>
          <w:rFonts w:ascii="Times New Roman"/>
          <w:b w:val="false"/>
          <w:i w:val="false"/>
          <w:color w:val="000000"/>
          <w:sz w:val="28"/>
        </w:rPr>
        <w:t xml:space="preserve"> х С</w:t>
      </w:r>
      <w:r>
        <w:rPr>
          <w:rFonts w:ascii="Times New Roman"/>
          <w:b w:val="false"/>
          <w:i w:val="false"/>
          <w:color w:val="000000"/>
          <w:vertAlign w:val="subscript"/>
        </w:rPr>
        <w:t>кду_i-РР_n</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кду_ i-Р</w:t>
      </w:r>
      <w:r>
        <w:rPr>
          <w:rFonts w:ascii="Times New Roman"/>
          <w:b w:val="false"/>
          <w:i w:val="false"/>
          <w:color w:val="000000"/>
          <w:sz w:val="28"/>
        </w:rPr>
        <w:t xml:space="preserve"> – объем финансирования по возмещению расходов за оказание консультативно-диагностических услуг в рамках ГОБМП на планируемый или отчетный период;</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кду_i-1</w:t>
      </w:r>
      <w:r>
        <w:rPr>
          <w:rFonts w:ascii="Times New Roman"/>
          <w:b w:val="false"/>
          <w:i w:val="false"/>
          <w:color w:val="000000"/>
          <w:sz w:val="28"/>
        </w:rPr>
        <w:t>, Ч</w:t>
      </w:r>
      <w:r>
        <w:rPr>
          <w:rFonts w:ascii="Times New Roman"/>
          <w:b w:val="false"/>
          <w:i w:val="false"/>
          <w:color w:val="000000"/>
          <w:vertAlign w:val="subscript"/>
        </w:rPr>
        <w:t>кду_i-n</w:t>
      </w:r>
      <w:r>
        <w:rPr>
          <w:rFonts w:ascii="Times New Roman"/>
          <w:b w:val="false"/>
          <w:i w:val="false"/>
          <w:color w:val="000000"/>
          <w:sz w:val="28"/>
        </w:rPr>
        <w:t xml:space="preserve"> – количество консультативно-диагностических услуг n вида на планируемый или отчетный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"35. Субъектам здравоохранения районного значения или села, оказывающим комплекс услуг ГОБМП по перечню форм медицинской помощи, определяемому в соответствии с подпунктом 81)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о здоровье, (далее – субъект села), тарифом для определения объема финансирования является комплексный подушевой норматив на сельское население.";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услуг ГОБМП сельскому населению по видам медицинской помощи, в том числе, доврачебная, квалифицированная, специализированная, медико-социальная, которые оказываются в формах ПМСП, КДП, скорой медицинской помощи, стационарозамещающей и стационарной медицинской помощи, в соответствии с пунктами 4-5 настоящей Методики.</w:t>
      </w:r>
    </w:p>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формам медицинской помощи (ПМСП, КДП, скорая медицинская помощь, стационарозамещающая помощь, стационарная помощь), утверждаемым администратором.</w:t>
      </w:r>
    </w:p>
    <w:p>
      <w:pPr>
        <w:spacing w:after="0"/>
        <w:ind w:left="0"/>
        <w:jc w:val="both"/>
      </w:pPr>
      <w:r>
        <w:rPr>
          <w:rFonts w:ascii="Times New Roman"/>
          <w:b w:val="false"/>
          <w:i w:val="false"/>
          <w:color w:val="000000"/>
          <w:sz w:val="28"/>
        </w:rPr>
        <w:t>
      Администратор бюджетных программ в течение текущего финансового года может пересматривать размер гарантированного компонента комплексного подушевого норматива на сельское население, его применение и распространение в период действия договора ГОБМП.";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"39. Расчет комплексного подушевого норматива на сельское население в месяц для субъектов села осуществляется: </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КПН</w:t>
      </w:r>
      <w:r>
        <w:rPr>
          <w:rFonts w:ascii="Times New Roman"/>
          <w:b w:val="false"/>
          <w:i w:val="false"/>
          <w:color w:val="000000"/>
          <w:vertAlign w:val="subscript"/>
        </w:rPr>
        <w:t>гар.село</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комплексный подушевой норматив на сельское население на одного прикрепленного человека, зарегистрированного в портале "РПН", в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села, в месяц;</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гарантированный компонент комплексного подушевого норматива на сельское население на одного прикрепленного человека, зарегистрированного в портале "РПН" к субъекту села, в месяц, который рассчитывается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село</w:t>
      </w:r>
      <w:r>
        <w:rPr>
          <w:rFonts w:ascii="Times New Roman"/>
          <w:b w:val="false"/>
          <w:i w:val="false"/>
          <w:color w:val="000000"/>
          <w:sz w:val="28"/>
        </w:rPr>
        <w:t>+ КПН</w:t>
      </w:r>
      <w:r>
        <w:rPr>
          <w:rFonts w:ascii="Times New Roman"/>
          <w:b w:val="false"/>
          <w:i w:val="false"/>
          <w:color w:val="000000"/>
          <w:vertAlign w:val="subscript"/>
        </w:rPr>
        <w:t>баз. 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КПН</w:t>
      </w:r>
      <w:r>
        <w:rPr>
          <w:rFonts w:ascii="Times New Roman"/>
          <w:b w:val="false"/>
          <w:i w:val="false"/>
          <w:color w:val="000000"/>
          <w:vertAlign w:val="subscript"/>
        </w:rPr>
        <w:t>баз. ПМСП</w:t>
      </w:r>
      <w:r>
        <w:rPr>
          <w:rFonts w:ascii="Times New Roman"/>
          <w:b w:val="false"/>
          <w:i w:val="false"/>
          <w:color w:val="000000"/>
          <w:sz w:val="28"/>
        </w:rPr>
        <w:t xml:space="preserve"> х (К</w:t>
      </w:r>
      <w:r>
        <w:rPr>
          <w:rFonts w:ascii="Times New Roman"/>
          <w:b w:val="false"/>
          <w:i w:val="false"/>
          <w:color w:val="000000"/>
          <w:vertAlign w:val="subscript"/>
        </w:rPr>
        <w:t xml:space="preserve">сельск.обл </w:t>
      </w:r>
      <w:r>
        <w:rPr>
          <w:rFonts w:ascii="Times New Roman"/>
          <w:b w:val="false"/>
          <w:i w:val="false"/>
          <w:color w:val="000000"/>
          <w:sz w:val="28"/>
        </w:rPr>
        <w:t>–1)) х К</w:t>
      </w:r>
      <w:r>
        <w:rPr>
          <w:rFonts w:ascii="Times New Roman"/>
          <w:b w:val="false"/>
          <w:i w:val="false"/>
          <w:color w:val="000000"/>
          <w:vertAlign w:val="subscript"/>
        </w:rPr>
        <w:t>субъекта села</w:t>
      </w:r>
      <w:r>
        <w:rPr>
          <w:rFonts w:ascii="Times New Roman"/>
          <w:b w:val="false"/>
          <w:i w:val="false"/>
          <w:color w:val="000000"/>
          <w:sz w:val="28"/>
        </w:rPr>
        <w:t xml:space="preserve"> + V</w:t>
      </w:r>
      <w:r>
        <w:rPr>
          <w:rFonts w:ascii="Times New Roman"/>
          <w:b w:val="false"/>
          <w:i w:val="false"/>
          <w:color w:val="000000"/>
          <w:vertAlign w:val="subscript"/>
        </w:rPr>
        <w:t>экол_село</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 m + (V</w:t>
      </w:r>
      <w:r>
        <w:rPr>
          <w:rFonts w:ascii="Times New Roman"/>
          <w:b w:val="false"/>
          <w:i w:val="false"/>
          <w:color w:val="000000"/>
          <w:vertAlign w:val="subscript"/>
        </w:rPr>
        <w:t>сп/сзт_село</w:t>
      </w:r>
      <w:r>
        <w:rPr>
          <w:rFonts w:ascii="Times New Roman"/>
          <w:b w:val="false"/>
          <w:i w:val="false"/>
          <w:color w:val="000000"/>
          <w:sz w:val="28"/>
        </w:rPr>
        <w:t xml:space="preserve"> /Ч</w:t>
      </w:r>
      <w:r>
        <w:rPr>
          <w:rFonts w:ascii="Times New Roman"/>
          <w:b w:val="false"/>
          <w:i w:val="false"/>
          <w:color w:val="000000"/>
          <w:vertAlign w:val="subscript"/>
        </w:rPr>
        <w:t>село</w:t>
      </w:r>
      <w:r>
        <w:rPr>
          <w:rFonts w:ascii="Times New Roman"/>
          <w:b w:val="false"/>
          <w:i w:val="false"/>
          <w:color w:val="000000"/>
          <w:sz w:val="28"/>
        </w:rPr>
        <w:t>/m) х К</w:t>
      </w:r>
      <w:r>
        <w:rPr>
          <w:rFonts w:ascii="Times New Roman"/>
          <w:b w:val="false"/>
          <w:i w:val="false"/>
          <w:color w:val="000000"/>
          <w:vertAlign w:val="subscript"/>
        </w:rPr>
        <w:t>субъекта села</w:t>
      </w:r>
      <w:r>
        <w:rPr>
          <w:rFonts w:ascii="Times New Roman"/>
          <w:b w:val="false"/>
          <w:i w:val="false"/>
          <w:color w:val="000000"/>
          <w:sz w:val="28"/>
        </w:rPr>
        <w:t xml:space="preserve"> + V</w:t>
      </w:r>
      <w:r>
        <w:rPr>
          <w:rFonts w:ascii="Times New Roman"/>
          <w:b w:val="false"/>
          <w:i w:val="false"/>
          <w:color w:val="000000"/>
          <w:vertAlign w:val="subscript"/>
        </w:rPr>
        <w:t>смп_село</w:t>
      </w:r>
      <w:r>
        <w:rPr>
          <w:rFonts w:ascii="Times New Roman"/>
          <w:b w:val="false"/>
          <w:i w:val="false"/>
          <w:color w:val="000000"/>
          <w:sz w:val="28"/>
        </w:rPr>
        <w:t xml:space="preserve"> /Ч</w:t>
      </w:r>
      <w:r>
        <w:rPr>
          <w:rFonts w:ascii="Times New Roman"/>
          <w:b w:val="false"/>
          <w:i w:val="false"/>
          <w:color w:val="000000"/>
          <w:vertAlign w:val="subscript"/>
        </w:rPr>
        <w:t>село</w:t>
      </w:r>
      <w:r>
        <w:rPr>
          <w:rFonts w:ascii="Times New Roman"/>
          <w:b w:val="false"/>
          <w:i w:val="false"/>
          <w:color w:val="000000"/>
          <w:sz w:val="28"/>
        </w:rPr>
        <w:t>/m,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Республики Казахстан для всех субъектов села, который определяется по формуле согласно пункта 13 настоящей Методики;</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xml:space="preserve"> – численность прикрепленного населения к субъекту села, оказывающему ПМСП, зарегистрированная в портале "РПН" или численность населения к субъекту села, не оказывающему ПМСП, зарегистрированная в портале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половозрастной поправочный коэффициент потребления ПМСП населением по субъекту села, который определяется по формуле: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 xml:space="preserve"> </w:t>
      </w:r>
      <w:r>
        <w:rPr>
          <w:rFonts w:ascii="Times New Roman"/>
          <w:b w:val="false"/>
          <w:i/>
          <w:color w:val="000000"/>
          <w:sz w:val="28"/>
        </w:rPr>
        <w:t>k/n</w:t>
      </w:r>
      <w:r>
        <w:rPr>
          <w:rFonts w:ascii="Times New Roman"/>
          <w:b w:val="false"/>
          <w:i w:val="false"/>
          <w:color w:val="000000"/>
          <w:sz w:val="28"/>
        </w:rPr>
        <w:t xml:space="preserve"> х ПВК</w:t>
      </w:r>
      <w:r>
        <w:rPr>
          <w:rFonts w:ascii="Times New Roman"/>
          <w:b w:val="false"/>
          <w:i w:val="false"/>
          <w:color w:val="000000"/>
          <w:vertAlign w:val="subscript"/>
        </w:rPr>
        <w:t>село (n</w:t>
      </w:r>
      <w:r>
        <w:rPr>
          <w:rFonts w:ascii="Times New Roman"/>
          <w:b w:val="false"/>
          <w:i w:val="false"/>
          <w:color w:val="000000"/>
          <w:vertAlign w:val="subscript"/>
        </w:rPr>
        <w:t>)</w:t>
      </w: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село </w:t>
      </w:r>
      <w:r>
        <w:rPr>
          <w:rFonts w:ascii="Times New Roman"/>
          <w:b w:val="false"/>
          <w:i w:val="false"/>
          <w:color w:val="000000"/>
          <w:vertAlign w:val="subscript"/>
        </w:rPr>
        <w:t>k/n</w:t>
      </w:r>
      <w:r>
        <w:rPr>
          <w:rFonts w:ascii="Times New Roman"/>
          <w:b w:val="false"/>
          <w:i w:val="false"/>
          <w:color w:val="000000"/>
          <w:sz w:val="28"/>
        </w:rPr>
        <w:t xml:space="preserve"> – численность прикрепленного населения к субъекту села, зарегистрированная в портале "РПН" номер </w:t>
      </w:r>
      <w:r>
        <w:rPr>
          <w:rFonts w:ascii="Times New Roman"/>
          <w:b w:val="false"/>
          <w:i/>
          <w:color w:val="000000"/>
          <w:sz w:val="28"/>
        </w:rPr>
        <w:t>k</w:t>
      </w:r>
      <w:r>
        <w:rPr>
          <w:rFonts w:ascii="Times New Roman"/>
          <w:b w:val="false"/>
          <w:i w:val="false"/>
          <w:color w:val="000000"/>
          <w:sz w:val="28"/>
        </w:rPr>
        <w:t xml:space="preserve"> населения, попадающего в половозрастную группу номер </w:t>
      </w:r>
      <w:r>
        <w:rPr>
          <w:rFonts w:ascii="Times New Roman"/>
          <w:b w:val="false"/>
          <w:i/>
          <w:color w:val="000000"/>
          <w:sz w:val="28"/>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 (n)</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половозрастной группы номер n согласно приложению 1 к настоящей Методике.</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села,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комплекса услуг ГОБМП сельскому населению на предстоящий финансовый год или его корректировки в течение текущего финансового года по решению уполномоченного органа в области здравоохранения;</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 аналогично пункту 13 настоящей Методики;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 аналогично пункту 13 настоящей Методики;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1+0,25 х (Ч</w:t>
      </w:r>
      <w:r>
        <w:rPr>
          <w:rFonts w:ascii="Times New Roman"/>
          <w:b w:val="false"/>
          <w:i w:val="false"/>
          <w:color w:val="000000"/>
          <w:vertAlign w:val="subscript"/>
        </w:rPr>
        <w:t>село</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xml:space="preserve"> х ДО</w:t>
      </w:r>
      <w:r>
        <w:rPr>
          <w:rFonts w:ascii="Times New Roman"/>
          <w:b w:val="false"/>
          <w:i w:val="false"/>
          <w:color w:val="000000"/>
          <w:vertAlign w:val="subscript"/>
        </w:rPr>
        <w:t>село</w:t>
      </w:r>
      <w:r>
        <w:rPr>
          <w:rFonts w:ascii="Times New Roman"/>
          <w:b w:val="false"/>
          <w:i w:val="false"/>
          <w:color w:val="000000"/>
          <w:sz w:val="28"/>
        </w:rPr>
        <w:t xml:space="preserve"> ), где</w:t>
      </w:r>
    </w:p>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село</w:t>
      </w:r>
      <w:r>
        <w:rPr>
          <w:rFonts w:ascii="Times New Roman"/>
          <w:b w:val="false"/>
          <w:i w:val="false"/>
          <w:color w:val="000000"/>
          <w:sz w:val="28"/>
        </w:rPr>
        <w:t xml:space="preserve">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 села</w:t>
      </w:r>
      <w:r>
        <w:rPr>
          <w:rFonts w:ascii="Times New Roman"/>
          <w:b w:val="false"/>
          <w:i w:val="false"/>
          <w:color w:val="000000"/>
          <w:sz w:val="28"/>
        </w:rPr>
        <w:t xml:space="preserve"> – поправочный коэффициент, устанавливаемый для субъекта села с целью обеспечения устойчивого функционирования в случаях малочисленности населения, высокой протяженности территории с низкой плотностью, и других территориальных особенностей, определенных администратором бюджетных программ. Расчет размера поправочного коэффициента и его утверждение осуществляется администратором бюджетных программ;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смп_село</w:t>
      </w:r>
      <w:r>
        <w:rPr>
          <w:rFonts w:ascii="Times New Roman"/>
          <w:b w:val="false"/>
          <w:i w:val="false"/>
          <w:color w:val="000000"/>
          <w:sz w:val="28"/>
        </w:rPr>
        <w:t xml:space="preserve"> – годовой объем средств для субъекта села на оказание прикрепленному сельскому населению скорой медицинской помощи на предстоящий финансовый год;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экол_село</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субъектам села, который формируется на уровне области в соответствии с ЗРК </w:t>
      </w:r>
      <w:r>
        <w:rPr>
          <w:rFonts w:ascii="Times New Roman"/>
          <w:b w:val="false"/>
          <w:i w:val="false"/>
          <w:color w:val="000000"/>
          <w:sz w:val="28"/>
        </w:rPr>
        <w:t xml:space="preserve"> о соцзащите граждан Приаралья</w:t>
      </w:r>
      <w:r>
        <w:rPr>
          <w:rFonts w:ascii="Times New Roman"/>
          <w:b w:val="false"/>
          <w:i w:val="false"/>
          <w:color w:val="000000"/>
          <w:vertAlign w:val="subscript"/>
        </w:rPr>
        <w:t xml:space="preserve"> и ЗРК </w:t>
      </w:r>
      <w:r>
        <w:rPr>
          <w:rFonts w:ascii="Times New Roman"/>
          <w:b w:val="false"/>
          <w:i w:val="false"/>
          <w:color w:val="000000"/>
          <w:sz w:val="28"/>
        </w:rPr>
        <w:t xml:space="preserve"> о соцзащите граждан СИЯП</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годовой объем средств для субъекта села на оказание прикрепленному сельскому населению стационарной и стационарозамещающей медицинской помощи, который определяется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V</w:t>
      </w:r>
      <w:r>
        <w:rPr>
          <w:rFonts w:ascii="Times New Roman"/>
          <w:b w:val="false"/>
          <w:i w:val="false"/>
          <w:color w:val="000000"/>
          <w:vertAlign w:val="subscript"/>
        </w:rPr>
        <w:t>сп/сзт_село/обл.</w:t>
      </w:r>
      <w:r>
        <w:rPr>
          <w:rFonts w:ascii="Times New Roman"/>
          <w:b w:val="false"/>
          <w:i w:val="false"/>
          <w:color w:val="000000"/>
          <w:sz w:val="28"/>
        </w:rPr>
        <w:t xml:space="preserve"> / ПС </w:t>
      </w:r>
      <w:r>
        <w:rPr>
          <w:rFonts w:ascii="Times New Roman"/>
          <w:b w:val="false"/>
          <w:i w:val="false"/>
          <w:color w:val="000000"/>
          <w:vertAlign w:val="subscript"/>
        </w:rPr>
        <w:t>сп/сзт_село/обл.</w:t>
      </w:r>
      <w:r>
        <w:rPr>
          <w:rFonts w:ascii="Times New Roman"/>
          <w:b w:val="false"/>
          <w:i w:val="false"/>
          <w:color w:val="000000"/>
          <w:sz w:val="28"/>
        </w:rPr>
        <w:t xml:space="preserve"> х ПС </w:t>
      </w:r>
      <w:r>
        <w:rPr>
          <w:rFonts w:ascii="Times New Roman"/>
          <w:b w:val="false"/>
          <w:i w:val="false"/>
          <w:color w:val="000000"/>
          <w:vertAlign w:val="subscript"/>
        </w:rPr>
        <w:t>сп/сзт_село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сп/сзт_село/обл</w:t>
      </w:r>
      <w:r>
        <w:rPr>
          <w:rFonts w:ascii="Times New Roman"/>
          <w:b w:val="false"/>
          <w:i w:val="false"/>
          <w:color w:val="000000"/>
          <w:sz w:val="28"/>
        </w:rPr>
        <w:t xml:space="preserve">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на предстоящий финансовый год;</w:t>
      </w:r>
    </w:p>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сп/сзт_село/обл.</w:t>
      </w:r>
      <w:r>
        <w:rPr>
          <w:rFonts w:ascii="Times New Roman"/>
          <w:b w:val="false"/>
          <w:i w:val="false"/>
          <w:color w:val="000000"/>
          <w:sz w:val="28"/>
        </w:rPr>
        <w:t>-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стационарозамещающей медицинской помощи, которое определяется как сумма пролеченных случаев (ПС</w:t>
      </w:r>
      <w:r>
        <w:rPr>
          <w:rFonts w:ascii="Times New Roman"/>
          <w:b w:val="false"/>
          <w:i w:val="false"/>
          <w:color w:val="000000"/>
          <w:vertAlign w:val="subscript"/>
        </w:rPr>
        <w:t>сп/сзт_село</w:t>
      </w:r>
      <w:r>
        <w:rPr>
          <w:rFonts w:ascii="Times New Roman"/>
          <w:b w:val="false"/>
          <w:i w:val="false"/>
          <w:color w:val="000000"/>
          <w:sz w:val="28"/>
        </w:rPr>
        <w:t>) по всем субъектам села;</w:t>
      </w:r>
    </w:p>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w:t>
      </w:r>
      <w:r>
        <w:rPr>
          <w:rFonts w:ascii="Times New Roman"/>
          <w:b w:val="false"/>
          <w:i w:val="false"/>
          <w:color w:val="000000"/>
          <w:sz w:val="28"/>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стационарозамещающей медицинской помощи, которое определяется по формуле:</w:t>
      </w:r>
    </w:p>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х %темп</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сзт/село</w:t>
      </w:r>
      <w:r>
        <w:rPr>
          <w:rFonts w:ascii="Times New Roman"/>
          <w:b w:val="false"/>
          <w:i w:val="false"/>
          <w:color w:val="000000"/>
          <w:sz w:val="28"/>
        </w:rPr>
        <w:t xml:space="preserve"> + ПС </w:t>
      </w:r>
      <w:r>
        <w:rPr>
          <w:rFonts w:ascii="Times New Roman"/>
          <w:b w:val="false"/>
          <w:i w:val="false"/>
          <w:color w:val="000000"/>
          <w:vertAlign w:val="subscript"/>
        </w:rPr>
        <w:t>сзт/село</w:t>
      </w:r>
      <w:r>
        <w:rPr>
          <w:rFonts w:ascii="Times New Roman"/>
          <w:b w:val="false"/>
          <w:i w:val="false"/>
          <w:color w:val="000000"/>
          <w:sz w:val="28"/>
        </w:rPr>
        <w:t xml:space="preserve"> х %темп</w:t>
      </w:r>
      <w:r>
        <w:rPr>
          <w:rFonts w:ascii="Times New Roman"/>
          <w:b w:val="false"/>
          <w:i w:val="false"/>
          <w:color w:val="000000"/>
          <w:vertAlign w:val="subscript"/>
        </w:rPr>
        <w:t>сзт/село</w:t>
      </w: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сзт/село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стационарозамещающей медицинской помощи среди прикрепленного сельского населения;</w:t>
      </w:r>
    </w:p>
    <w:p>
      <w:pPr>
        <w:spacing w:after="0"/>
        <w:ind w:left="0"/>
        <w:jc w:val="both"/>
      </w:pPr>
      <w:r>
        <w:rPr>
          <w:rFonts w:ascii="Times New Roman"/>
          <w:b w:val="false"/>
          <w:i w:val="false"/>
          <w:color w:val="000000"/>
          <w:sz w:val="28"/>
        </w:rPr>
        <w:t>
      %темп</w:t>
      </w:r>
      <w:r>
        <w:rPr>
          <w:rFonts w:ascii="Times New Roman"/>
          <w:b w:val="false"/>
          <w:i w:val="false"/>
          <w:color w:val="000000"/>
          <w:vertAlign w:val="subscript"/>
        </w:rPr>
        <w:t>сп/село</w:t>
      </w:r>
      <w:r>
        <w:rPr>
          <w:rFonts w:ascii="Times New Roman"/>
          <w:b w:val="false"/>
          <w:i w:val="false"/>
          <w:color w:val="000000"/>
          <w:sz w:val="28"/>
        </w:rPr>
        <w:t>, %темп</w:t>
      </w:r>
      <w:r>
        <w:rPr>
          <w:rFonts w:ascii="Times New Roman"/>
          <w:b w:val="false"/>
          <w:i w:val="false"/>
          <w:color w:val="000000"/>
          <w:vertAlign w:val="subscript"/>
        </w:rPr>
        <w:t>сзт/село</w:t>
      </w:r>
      <w:r>
        <w:rPr>
          <w:rFonts w:ascii="Times New Roman"/>
          <w:b w:val="false"/>
          <w:i w:val="false"/>
          <w:color w:val="000000"/>
          <w:sz w:val="28"/>
        </w:rPr>
        <w:t xml:space="preserve"> - темп роста или снижения стационарной и стационарозамещающей медицинской помощи соответственно планируемый на предстоящий финансовый год, выраженный в проценте;</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bookmarkStart w:name="z10" w:id="5"/>
    <w:p>
      <w:pPr>
        <w:spacing w:after="0"/>
        <w:ind w:left="0"/>
        <w:jc w:val="both"/>
      </w:pPr>
      <w:r>
        <w:rPr>
          <w:rFonts w:ascii="Times New Roman"/>
          <w:b w:val="false"/>
          <w:i w:val="false"/>
          <w:color w:val="000000"/>
          <w:sz w:val="28"/>
        </w:rPr>
        <w:t>
      2.Комитету оплаты медицинских услуг Министерства здравоохранения и социального развития Республики Казахстан обеспечить:</w:t>
      </w:r>
    </w:p>
    <w:bookmarkEnd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 официальное опубликование копии настоящего приказа в периодических печатных изданиях и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социального развития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Нурымбетов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