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b10f" w14:textId="e08b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регулированию естественных монополий от 30 декабря 2005 года № 384-ОД "Об утверждении Правил ведения раздельного учета доходов, затрат и задействованных активов субъектами естественных монополий, оказывающими услуги магистральной железнодорожной сети"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30 июня 2015 года № 472. Зарегистрирован в Министерстве юстиции Республики Казахстан 10 сентября 2015 года № 12050.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9 июля 1998 года "О естественных монополиях и регулируемых рынках",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30 декабря 2005 года № 384-ОД "Об утверждении Правил ведения раздельного учета доходов, затрат и задействованных активов субъектами естественных монополий, оказывающими услуги магистральной железнодорожной сети" (зарегистрированный в Реестре государственной регистрации нормативных правовых актов за № 4060, опубликованный в газете "Юридическая газета" от 22 сентября 2006 года № 170 (1150),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раздельного учета доходов, затрат и задействованных активов субъектами естественных монополий, оказывающими услуги магистральной железнодорожной сети, утвержденных указанным приказом (далее – Правила):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ведения раздельного учета доходов, затрат и задействованных активов субъектами естественной монополии, оказывающими услуги магистральной железнодорожной сети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 и регулируемых рынках" (далее – Закон), Особым порядком формирования затрат, применяемом при утверждении тарифов (цен, ставок сборов) на регулируемые услуги (товары, работы) субъектов естественных монополий,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25 апреля 2013 года № 130-ОД (далее – Особый порядок), зарегистрированным в Реестре нормативных правовых актов за № 8480, иными нормативными правовыми актами Республики Казахстан и распространяются на субъектов естественной монополии, оказывающих услуги магистральной железнодорожной сети (далее – Субъект).";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"Основные понятия, применяемые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абсорбированные производственные затраты – совокупность общих производственных затрат центров ответственности первого уровня, необходимые для предоставления услуг одного вида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– операционная деятельность, связанная с оказанием комплекса услуг, выполнением работ и производством товаров, с целью извлечения прибыли;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добавленные расходы – расходы, включающие общие и административные расходы центров ответственности регионального, сетевого и корпоративного уровней и центров ответственности первого уровня централизованного снабжения, а также производственные затраты центров ответственности первого уровня централизованного 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косвенные операции – операции, выполняемые для осуществления нескольких основных операций, включаемых в себестоимость оказываемых услуг (товаров, работ) видов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операционная деятельность – основная деятельность Субъекта по получению дохода и иная деятельность, отличная от инвестиционной и финансовой;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учет – система сбора и обобщения информации о затратах, доходах, задействованных активах и производственных показателях раздельно по видам деятельности, услугам, операциям Субъекта, в целях анализа себестоимости регулируемых видов деятельности, тарифной сметы и расчета тарифов на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регулируемый вид деятельности – сфера естественных монополий, определенная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ответственности – самостоятельное структурное подразделение Субъекта. Центры ответственности группируются по отраслевым и географическим сегментам и организационным уровням Субъекта;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ответственности первого уровня – центр ответственности, непосредственно занимающийся производством продукции, выполнением работ и оказанием услуг для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ответственности регионального уровня – центр ответственности, управляющий группой центров ответственности первого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ответственности сетевого уровня – центр ответственности, управляющий центрами ответственности регионального и первого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ответственности корпоративного уровня – центр ответственности, управляющий центрами ответственности сетевого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ведомство государственного органа, осуществляющего руководство в сферах естественных монополий и на регулируемых рынках.";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Отчетность по формам, установленным настоящими Правилами, составляется Субъектом за период, равный одному календарному году, и представляется в уполномоченный орган ежегодно, не позднее 1 мая года, следующего за отчетным, за исключением форм отчетов, предусмотренных подпунктами 7)-15) пункта 46 и пунктом 47 настоящих Правил, которые представляются по запросу уполномоченного органа.";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Отчетность на бумажном носителе подписывается руководителем или заместителем руководителя, курирующим вопросы бухгалтерского учета и финансовой отчетности, главным бухгалтером и заверяется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Отчетность на бумажном носителе представляется Субъектом в прошитом виде, с пронумерованными страницами и последняя страница заверяется подписью руководителя или заместителя руководителя, курирующего вопросы бухгалтерского учета и финансовой отчетности, главного бухгалтера и печатью Субъекта.".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11 августа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