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bacd" w14:textId="e92b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августа 2015 года № 605. Зарегистрирован в Министерстве юстиции Республики Казахстан 17 сентября 2015 года № 12075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«Об утверждении Типовых правилрасчета норм потребления коммунальных услуг по электроснабжению и теплоснабжению для потребителей, не имеющих приборов учета (зарегистрированный в Реестре государственной регистрации нормативных правовых актов № 10313, опубликованный в информационно-правовой системе «Әділет» от 3 марта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электроснабжению и теплоснабжению для потребителей, не имеющих приборов учета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Нормы потребления тепловой энергии на 1 квадратный метр за расчетный период для каждой категории многоквартирного или индивидуального жилого дома рассчитываются по формуле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Правилам. При этом расчетный период – это период времени, определяемый договором на теплоснабжение, за который потребленная тепловая энергия учитывается и предъявляется к оплате потребителю: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 w:val="false"/>
          <w:color w:val="000000"/>
          <w:vertAlign w:val="superscript"/>
        </w:rPr>
        <w:t>________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 xml:space="preserve"> хn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N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потребления тепловой энергии на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количество тепловой энергии, потребляемой за один расчетный период многоквартирными или индивидуальными жилыми домами, не оборудованными приборами учета (Гкал/расчетный период);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суммарная полезная площадь жилища многоквартирных жилых домов, не оборудованных приборами учета тепловой энергии, или помещений индивидуальных жилых домов, не оборудованных приборами учета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месяцев расчетного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Количество тепловой энергии (Гкал/расчетный период), необходимой для отопления многоквартирного или индивидуального жилого дома, определяется по формуле: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(t</w:t>
      </w:r>
      <w:r>
        <w:rPr>
          <w:rFonts w:ascii="Times New Roman"/>
          <w:b w:val="false"/>
          <w:i w:val="false"/>
          <w:color w:val="000000"/>
          <w:vertAlign w:val="subscript"/>
        </w:rPr>
        <w:t>вн –</w:t>
      </w:r>
      <w:r>
        <w:rPr>
          <w:rFonts w:ascii="Times New Roman"/>
          <w:b w:val="false"/>
          <w:i w:val="false"/>
          <w:color w:val="000000"/>
          <w:sz w:val="28"/>
        </w:rPr>
        <w:t xml:space="preserve"> t</w:t>
      </w:r>
      <w:r>
        <w:rPr>
          <w:rFonts w:ascii="Times New Roman"/>
          <w:b w:val="false"/>
          <w:i w:val="false"/>
          <w:color w:val="000000"/>
          <w:vertAlign w:val="subscript"/>
        </w:rPr>
        <w:t>сро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x 24 x 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x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(t</w:t>
      </w:r>
      <w:r>
        <w:rPr>
          <w:rFonts w:ascii="Times New Roman"/>
          <w:b w:val="false"/>
          <w:i w:val="false"/>
          <w:color w:val="000000"/>
          <w:vertAlign w:val="subscript"/>
        </w:rPr>
        <w:t>вн –</w:t>
      </w:r>
      <w:r>
        <w:rPr>
          <w:rFonts w:ascii="Times New Roman"/>
          <w:b w:val="false"/>
          <w:i w:val="false"/>
          <w:color w:val="000000"/>
          <w:sz w:val="28"/>
        </w:rPr>
        <w:t xml:space="preserve"> t</w:t>
      </w:r>
      <w:r>
        <w:rPr>
          <w:rFonts w:ascii="Times New Roman"/>
          <w:b w:val="false"/>
          <w:i w:val="false"/>
          <w:color w:val="000000"/>
          <w:vertAlign w:val="subscript"/>
        </w:rPr>
        <w:t>ро</w:t>
      </w:r>
      <w:r>
        <w:rPr>
          <w:rFonts w:ascii="Times New Roman"/>
          <w:b w:val="false"/>
          <w:i w:val="false"/>
          <w:color w:val="000000"/>
          <w:sz w:val="28"/>
        </w:rPr>
        <w:t>)               ,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тепловой энергии (Гкал/расчетный период);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часовая тепловая нагрузка на отопление многоквартирного или индивидуального жилого дома (ккал/час);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внутреннего воздуха отапливаемых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жилых помещений многоквартирного или индивидуального жилого дома (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сро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среднесуточная температура наружного воздуха за расчетный период (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расчетная температура наружного воздуха в целях проектирования отопления (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продолжительность работы системы отопления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расчетного периода (суток);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– количество часов в сутках.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Часовая тепловая нагрузка на отопление многоквартирного или индивидуального жилого дома (q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>), температура внутреннего воздуха отапливаемых жилых помещений многоквартирного или индивидуального жилого дома (t</w:t>
      </w:r>
      <w:r>
        <w:rPr>
          <w:rFonts w:ascii="Times New Roman"/>
          <w:b w:val="false"/>
          <w:i w:val="false"/>
          <w:color w:val="000000"/>
          <w:vertAlign w:val="subscript"/>
        </w:rPr>
        <w:t>вн</w:t>
      </w:r>
      <w:r>
        <w:rPr>
          <w:rFonts w:ascii="Times New Roman"/>
          <w:b w:val="false"/>
          <w:i w:val="false"/>
          <w:color w:val="000000"/>
          <w:sz w:val="28"/>
        </w:rPr>
        <w:t>), среднесуточная температура наружного воздуха за отопительный период (t</w:t>
      </w:r>
      <w:r>
        <w:rPr>
          <w:rFonts w:ascii="Times New Roman"/>
          <w:b w:val="false"/>
          <w:i w:val="false"/>
          <w:color w:val="000000"/>
          <w:vertAlign w:val="subscript"/>
        </w:rPr>
        <w:t>сро</w:t>
      </w:r>
      <w:r>
        <w:rPr>
          <w:rFonts w:ascii="Times New Roman"/>
          <w:b w:val="false"/>
          <w:i w:val="false"/>
          <w:color w:val="000000"/>
          <w:sz w:val="28"/>
        </w:rPr>
        <w:t>), расчетная температура наружного воздуха в целях проектирования отопления (t</w:t>
      </w:r>
      <w:r>
        <w:rPr>
          <w:rFonts w:ascii="Times New Roman"/>
          <w:b w:val="false"/>
          <w:i w:val="false"/>
          <w:color w:val="000000"/>
          <w:vertAlign w:val="subscript"/>
        </w:rPr>
        <w:t>ро</w:t>
      </w:r>
      <w:r>
        <w:rPr>
          <w:rFonts w:ascii="Times New Roman"/>
          <w:b w:val="false"/>
          <w:i w:val="false"/>
          <w:color w:val="000000"/>
          <w:sz w:val="28"/>
        </w:rPr>
        <w:t>), продолжительность расчетного периода (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 при расчете нормы теплопотребления за отопительный период определяется согласно СН РК 2.04-21-2004* «Энергопотребление и тепловая защита гражданских зданий»;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Часовая тепловая нагрузка на отопление многоквартирных или индивидуальных жилых домов, не оборудованных приборами учета тепловой энергии (ккал/час), определяется исходя из проектных данных или по паспортам домов. В случае отсутствия проектных и паспортных данных часовая тепловая нагрузка определяется по формуле: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уд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/1,163,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уд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нормируемый удельный расход тепловой энергии на отопление многоквартирного или индивидуального жилого дома (Вт в час на 1 кв. 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площадь жилых и нежилых помещений многоквартирного или индивидуального жилого дома (кв. 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инфраструктуры экономики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______________ 2015 года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2015 года № 605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 норм потребления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коммунальных услуг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электроснабжению и теплоснабжению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потребителей, не имеющих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приборов учета          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Значение нормируемого удельного расхода тепловой энергии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отопление многоквартирного или индивидуального жилого дома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общей площади, Вт в час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978"/>
        <w:gridCol w:w="744"/>
        <w:gridCol w:w="744"/>
        <w:gridCol w:w="744"/>
        <w:gridCol w:w="745"/>
        <w:gridCol w:w="745"/>
        <w:gridCol w:w="745"/>
        <w:gridCol w:w="745"/>
        <w:gridCol w:w="1043"/>
        <w:gridCol w:w="1043"/>
        <w:gridCol w:w="1043"/>
        <w:gridCol w:w="1043"/>
      </w:tblGrid>
      <w:tr>
        <w:trPr>
          <w:trHeight w:val="30" w:hRule="atLeast"/>
        </w:trPr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 жилой постройки, этажей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зданий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Расчетная температура наружного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25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30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35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45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построек до 1985 г.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1 - 2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и внедрения энергосберегающих мероприятий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1 - 2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внедрения энергосберегающих мероприятий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построек после 1985 г.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1 - 2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типовым проектам 1985-2004 г.г.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