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3104" w14:textId="e0e3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контроля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сентября 2015 года № 726. Зарегистрирован в Министерстве юстиции Республики Казахстан 15 октября 2015 года № 12175. Утратил силу приказом Министра здравоохранения Республики Казахстан от 20 декабря 2017 года № 968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20.12.2017 </w:t>
      </w:r>
      <w:r>
        <w:rPr>
          <w:rFonts w:ascii="Times New Roman"/>
          <w:b w:val="false"/>
          <w:i w:val="false"/>
          <w:color w:val="ff0000"/>
          <w:sz w:val="28"/>
        </w:rPr>
        <w:t>№ 968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контроля в области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сентября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 № 726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государственного контроля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контроля в области здравоохранения (далее – Правила) разработаны в соответствии с подпунктом 75)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осуществления Комитетом контроля медицинской и фармацевтической деятельности Министерства здравоохранения и социального развития Республики Казахстан (далее – Комитет) и его территориальными подразделениями государственного контроля в области здравоохранения посредством иных форм контроля.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Иные формы контроля проводятся с посещением субъекта (объекта) здравоохранения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января 2011 года "О государственном контроле и надзоре в Республике Казахстан" в случаях инициативного обращения проверяемого субъекта (объекта) здравоохранения за получением заключения (информации) о соответствии его деятельности требованиям законодательства Республики Казахстан, не связанного с получением разрешительных документов.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(объектами) посещения являются следующие организации здравоохранения: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оказывающие амбулаторно-поликлиническую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оказывающие стационарную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скорой медицинской помощи и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медицины катастроф;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восстановительного лечения и медицинской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оказывающие паллиативную помощь и сестринский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фармацевтическую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научные организации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образования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здравоохранения, осуществляющие деятельность в сфере формирования здорового образа жизни,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здравоохранения, осуществляющие деятельность в сфере профилактики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национальные холдинги;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организации, осуществляющие оценку профессиональной подготовленности и подтверждение соответствия квалификации специалистов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иных форм контроля с посещением субъекта (объекта) здравоохранения Комитетом или его территориальными подразделениями проводится оценка: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готовности субъекта (объекта) здравоохранения к оказанию высокоспециализированной медицинской помощи (далее – ВСМП), с составлением заключения проведенной оценки соответствия медицинской организации требованиям к оказанию ВСМП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и соответствия условий для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транспортировки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Кодекса, с составлением акта проверки произвольной формы наличия условий для хранения и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 и организаций здравоохранения с целью определения его соответствия требованиям надлежащих фармацевтических практик,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Кодекса, по результатам которой выдается сертификат о соответствии требованиям надлежащих фармацевтических практик в сфере обращения лекарственных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иных форм контроля не требуются 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уполномоченном органе по правовой статистике и специальным учетам и предварительное уведомление проверяемого субъекта (объекта) здравоохранения.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иных форм контроля с посещением субъекта (объекта) здравоохранения Комитет или его территориальное подразделение уведомляет органы по правовой статистике и специальным учетам по месту нахождения проверяемого субъекта (объекта) здравоохранения до их проведения.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иных форм контроля субъекта (объекта) здравоохранения составляются итоговые документы (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 проверки наличия условий для хранения и транспортировки лекарственных средств, </w:t>
      </w:r>
      <w:r>
        <w:rPr>
          <w:rFonts w:ascii="Times New Roman"/>
          <w:b w:val="false"/>
          <w:i w:val="false"/>
          <w:color w:val="000000"/>
          <w:sz w:val="28"/>
        </w:rPr>
        <w:t>cертификат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требованиям надлежащих фармацевтических практик в сфере обращения лекарственных средств)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и его территориальные подразделения на постоянной и непрерывной основе ведут ведомственный учет количества иных форм контроля с посещением субъекта (объекта) здравоохранения.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проведенной оценки соответствия медицинской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требованиям к оказанию ВСМП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организация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(полное юридическое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Название внедряемого вида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92"/>
        <w:gridCol w:w="1227"/>
        <w:gridCol w:w="992"/>
        <w:gridCol w:w="7136"/>
        <w:gridCol w:w="993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специалистам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Соответствие/ несоответствие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наличию оборудования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Соответствие/ несоответствие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регистрации/ разрешения разового ввоза лекарственных средств, изделий медицинского назначения, медицинской техники, расходных материалов для каждой заявляемой технологии Территориальным подразделением Комитета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Соответствие/ несоответствие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– Ф.И.О),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печать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органа контроля, проводившие оценку: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территориальными подразделениями Комитета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соответствии требованиям надлежащих</w:t>
      </w:r>
      <w:r>
        <w:br/>
      </w:r>
      <w:r>
        <w:rPr>
          <w:rFonts w:ascii="Times New Roman"/>
          <w:b/>
          <w:i w:val="false"/>
          <w:color w:val="000000"/>
        </w:rPr>
        <w:t>фармацевтических практик в сфере обращения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деятельности) на соответствие надлежащей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соответствия надлежащей фармацевтической практике: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стадии технологического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производственных помещений,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инспекторат, выдавший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фармацевтического инспектората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