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9e9fb" w14:textId="b69e9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государственного электронного реестра разрешений и уведомлений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30 апреля 2015 года № 543. Зарегистрирован в Министерстве юстиции Республики Казахстан 9 декабря 2015 года № 12372.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2-1)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2014 года "О разрешениях и уведомлениях"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государственного электронного реестра разрешений и уведомлений.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связи, информатизации и информации Министерства по инвестициям и развитию Республики Казахстан (Сарсенов С.С.)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его копии на официальное опубликование в периодических печатных изданиях и информационно-правовой системе "Әділет";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приказа.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2015 года № 543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государственного электронного реестра</w:t>
      </w:r>
      <w:r>
        <w:br/>
      </w:r>
      <w:r>
        <w:rPr>
          <w:rFonts w:ascii="Times New Roman"/>
          <w:b/>
          <w:i w:val="false"/>
          <w:color w:val="000000"/>
        </w:rPr>
        <w:t>разрешений и уведомлений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государственного электронного реестра разрешений и уведомлений (далее – Правила) разработаны в соответствии с подпунктом 2-1)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2014 года "О разрешениях и уведомлениях" (далее - Закон) и определяют порядок ведения государственного электронного реестра разрешений и уведомлений.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Ведение государственного электронного реестра разрешений и уведомлений осуществляется в целях: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систематизации сведений о разрешениях </w:t>
      </w:r>
      <w:r>
        <w:rPr>
          <w:rFonts w:ascii="Times New Roman"/>
          <w:b w:val="false"/>
          <w:i w:val="false"/>
          <w:color w:val="000000"/>
          <w:sz w:val="28"/>
        </w:rPr>
        <w:t>первой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категории и </w:t>
      </w:r>
      <w:r>
        <w:rPr>
          <w:rFonts w:ascii="Times New Roman"/>
          <w:b w:val="false"/>
          <w:i w:val="false"/>
          <w:color w:val="000000"/>
          <w:sz w:val="28"/>
        </w:rPr>
        <w:t>уведомлениях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подлежащих автоматизации посредством государственной информационной системы разрешений и уведомлений;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информирования физических и юридических лиц Республики Казахстан о сведениях, содержащихся в государственном электронном реестре разрешений и уведомлений.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понятия, используемые в настоящих Правилах: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сфере информатизации (далее – уполномоченный орган) – центральный государственный орган, осуществляющий руководство в сфере информатизации и "электронного правительства";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 деятельности – здание, строение, сооружение или иные объекты, о начале деятельности на которых (с использованием которых) было осуществлено уведомление физическим или юридическим лицом;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идентификатор объекта деятельности – уникальный номер и (или) наименование объекта деятельности, указываемые физическим или юридическим лицом при подаче уведомления о начале деятельности; </w:t>
      </w:r>
    </w:p>
    <w:bookmarkEnd w:id="11"/>
    <w:bookmarkStart w:name="z5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4 ) детальные сведения по разрешению – полная информация по разрешению, включающая все данные документа и историю изменения статуса разрешения;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разрешений и уведомлений – центральный государственный орган, осуществляющий руководство и межотраслевую координацию в сфере разрешений и уведомлений;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информационная система разрешений и уведомлений (далее – Система) – информационная система, являющаяся компонентом "электронного правительства", предназначенная для осуществления в электронном виде лицензирования, разрешительных процедур в части получения разрешения с присвоением идентификационного номера, направления уведомления заявителем и обеспечения этих процессов;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7) внешний портал государственной информационной системы разрешений и уведомлений (далее - внешний портал) - веб-портал государственной информационной системы разрешений и уведомлений, предоставляющей физическим и юридическим лицам единую точку доступа к услугам в части лицензирования, разрешительные процедуры и уведомительного порядка посредством сети Интернет;</w:t>
      </w:r>
    </w:p>
    <w:bookmarkStart w:name="z5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8 ) государственный электронный реестр разрешений и уведомлений (далее – Реестр) – компонент государственной информационной системы разрешений и уведомлений, содержащий сведения о выданных, переоформленных, приостановленных, аннулированных, продленных, возобновленных и прекративших действие разрешениях и их дубликатах, а также о полученных уведомлениях;</w:t>
      </w:r>
    </w:p>
    <w:bookmarkEnd w:id="15"/>
    <w:bookmarkStart w:name="z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уникальный идентификационный номер разрешения (далее – УИНР) – уникальный идентификационный номер, присваиваемый  разрешениям первой категории государственной информационной системе разрешений и уведомлений, выданных до введения в действие настоящих Правил;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статус разрешения – характеристика текущего состояния разрешения, изменяемая по мере осуществления разрешительных процедур и процедур лицензирования; </w:t>
      </w:r>
    </w:p>
    <w:bookmarkEnd w:id="17"/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идентификационный номер – номер, присваиваемый электронному документу государственной информационной системой разрешений и уведомлений;</w:t>
      </w:r>
    </w:p>
    <w:bookmarkEnd w:id="18"/>
    <w:bookmarkStart w:name="z5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исторические данные – информация о разрешениях и уведомлениях, выданных или направленных в период временного или постоянного отсутствия у разрешительных и государственных органов, осуществляющих прием уведомлений, возможности ведения государственного электронного реестра разрешений и уведомлений;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уведомительный 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установление обязанности физического или юридического лица до начала осуществления деятельности или действий уведомить государственный орган, осуществляющий прием уведомлений, об этом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0"/>
    <w:bookmarkStart w:name="z5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субъект, подавший уведомление – физическое или юридическое лицо, осуществившее уведомление о начале или прекращении деятельности или действия;</w:t>
      </w:r>
    </w:p>
    <w:bookmarkEnd w:id="21"/>
    <w:bookmarkStart w:name="z5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детальные сведения по субъекту, подавшему уведомление – полная информация о субъекте уведомительного порядка, включающая все данные уведомления о начале деятельности и историю изменения статуса субъекта, подавшего уведомление;</w:t>
      </w:r>
    </w:p>
    <w:bookmarkEnd w:id="22"/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статус субъекта, подавшего уведомление – характеристика текущего состояния субъекта, подавшего уведомление, изменяемая по мере выполнения процессов, связанных с подачей уведомлений, с приостановлением деятельности субъекта или исключения субъекта из Реестра;</w:t>
      </w:r>
    </w:p>
    <w:bookmarkEnd w:id="23"/>
    <w:bookmarkStart w:name="z5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ЭЦП) – набор электронных цифровых символов, созданный средствами ЭЦП и подтверждающий достоверность электронного документа, его принадлежность и неизменность содержания.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Установление прав доступа и обеспечение функционирования Реестра осуществляется уполномоченным органом по согласованию с уполномоченным органом в сфере разрешений и уведомлений. Ведение Реестра производится разрешительными органами и государственными органами, осуществляющими прием уведомлений.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Сведения, содержащиеся в Реестре, за исключением информации, содержащей государственные секреты и иную охраняемую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тайну</w:t>
      </w:r>
      <w:r>
        <w:rPr>
          <w:rFonts w:ascii="Times New Roman"/>
          <w:b w:val="false"/>
          <w:i w:val="false"/>
          <w:color w:val="000000"/>
          <w:sz w:val="28"/>
        </w:rPr>
        <w:t xml:space="preserve">,  разрешений на приобретение гражданского и служебного оружия и патронов к нему, гражданских пиротехнических веществ и изделий с их применением, </w:t>
      </w:r>
      <w:r>
        <w:rPr>
          <w:rFonts w:ascii="Times New Roman"/>
          <w:b w:val="false"/>
          <w:i w:val="false"/>
          <w:color w:val="000000"/>
          <w:sz w:val="28"/>
        </w:rPr>
        <w:t>разрешений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трудовым иммигрантам, размещаются на государственном и русском языках на внешнем портале государственной информационной системы разрешений и уведомлений (далее – внешний портал) и доступны для ознакомления заинтересованным лицам без взимания платы.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Реестр подразделяется на следующие разделы: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реестр разрешений;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реестр субъектов, подавших уведомление. 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Внесение сведений в Реестр осуществляется посредством Системы.</w:t>
      </w:r>
    </w:p>
    <w:bookmarkEnd w:id="28"/>
    <w:bookmarkStart w:name="z3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ведения реестра разрешений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Реестр разрешений содержит следующие сведения: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категория разрешения (</w:t>
      </w:r>
      <w:r>
        <w:rPr>
          <w:rFonts w:ascii="Times New Roman"/>
          <w:b w:val="false"/>
          <w:i w:val="false"/>
          <w:color w:val="000000"/>
          <w:sz w:val="28"/>
        </w:rPr>
        <w:t>разрешение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первой категории (лицензия); </w:t>
      </w:r>
      <w:r>
        <w:rPr>
          <w:rFonts w:ascii="Times New Roman"/>
          <w:b w:val="false"/>
          <w:i w:val="false"/>
          <w:color w:val="000000"/>
          <w:sz w:val="28"/>
        </w:rPr>
        <w:t>разрешение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второй категории);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класс разрешения (1 – разрешения, выдаваемые на деятельность; 2 – разрешения, выдаваемые на объекты; 3 – разовые разрешения; 4 – разрешения, выдаваемые на деятельность с ограниченными ресурсами или с использованием квот; 5 – разрешения, выдаваемые на профессиональную деятельность физическим лицам; 6 – разрешения, выдаваемые на продукцию);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наименование разрешения;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признак исторических данных (в случае наличия исторических данных);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индивидуальный идентификационный номер/бизнес-идентификационный номер лицензиата или владельца разрешения второй категории;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фамилия, имя, отчество физического лица/наименование юридического лица – лицензиата или владельца разрешения второй категории;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адрес местожительства физического лица или местонахождения юридического лица;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дата подачи заявления;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основания отказа;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дата направления ответа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дата выдачи разрешения;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статус разрешения;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дата начала действия разрешения;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разрешительный орган;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вид деятельности, действия (для разрешений, выдаваемых  на вид деятельности, действия);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подвиды деятельности (для разрешений на вид деятельности, имеющих подвиды деятельности);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вид лицензии (генеральная, исключительная, разовая) - для лицензий;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особые условия (для лицензий);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идентификационный номер разрешения (присваиваемый Системой разрешениям в электронной форме);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номер, серия разрешения (для исторических документов и разрешений, выдаваемых только в бумажной форме;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УИНР;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территория деятельности (для разрешений, действующих на определенной территории;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дата окончания действия разрешения (для разрешений, выдаваемых с ограничением срока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идентификационный номер первоначального разрешения (для разрешений, по которым было осуществлено переоформление);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период приостановления действия разрешения (для разрешений, по которым было осуществлено приостановление);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УИНР первоначальной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номер, серия первоначального разрешения (для разрешений первой и второй категории, выдаваемых только в бумажной форме, по которому было осуществлено переоформление или перевод в электронную форму);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дата выдачи первоначального документа (для разрешений, по которым было осуществлено переоформление);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сведения об ЭПЦ уполномоченного лица разрешительного органа для разрешений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период приостановления действия разрешения (для разрешений, по которым было осуществлено приостановление);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основание отзыва (аннулирования) разрешения (для разрешений, отозванных/аннулированных разрешительным органом на основании решения суда либо в иных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Сведения, указанные в подпунктах 1) – 12) пункта 8 настоящих Правил, подлежат обязательному заполнению для всех разрешений. Сведения, приведенные в подпунктах 13) – 27) пункта 8 настоящих Правил, подлежат заполнению при их наличии. 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Полный состав сведений о разрешении, с учетом специфичных полей, не вошедших в состав сведений реестра разрешений, может быть просмотрен в детальных сведениях по разрешению. 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реестре разрешений имеется возможность загрузки формы представления разрешения в электронной форме, в случае если форма представления разрешения в электронной форме предусмотрена соответствующей лицензией или разрешением.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Ввод исторических данных в реестр разрешений осуществляется разрешительными органами посредством Системы.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вводе исторических данных заполняются поля реестра разрешений, указанные в пункте 8 настоящих Правил.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вводе исторических данных не требуется удостоверение сведений о разрешених ЭЦП уполномоченного лица разрешительного органа.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вводе разрешительными органами исторических данных в реестр разрешений, идентификационный номер разрешения не формируется.</w:t>
      </w:r>
    </w:p>
    <w:bookmarkEnd w:id="37"/>
    <w:bookmarkStart w:name="z4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ведения реестра субъектов, подавших уведомление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Реестр субъектов, подавших уведомление, содержит следующие сведения: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деятельности (действия), в отношении которого введен уведомительный порядок;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идентификационный номер </w:t>
      </w:r>
      <w:r>
        <w:rPr>
          <w:rFonts w:ascii="Times New Roman"/>
          <w:b w:val="false"/>
          <w:i w:val="false"/>
          <w:color w:val="000000"/>
          <w:sz w:val="28"/>
        </w:rPr>
        <w:t>уведомления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начале деятельности,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дата подачи уведомления о начале деятельности, действия;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дата включения субъекта в реестр;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индивидуальный идентификационный номер/ бизнес-идентификационный номер субъекта;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фамилия, имя, отчество физического лица/наименование юридического лица – субъекта, подавшего уведомление;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адрес местожительства физического лица или местонахождения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дата начала деятельности (действия);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статус субъекта;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государственный орган, осуществляющий прием уведомлений;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адрес осуществления деятельности или действий;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дата окончания осуществления деятельности (действия);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номер телефона субъекта, подавшего уведомление;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адрес электронной почты субъекта, подавшего уведомление;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сведения об ЭЦП субъекта для уведомлений в электронной форме о начале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период приостановления деятельности субъекта (для субъектов, по которым было осуществлено приостановление деятельности);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дата последнего изменения сведений (для субъектов, по которым было подано уведомление об изменении сведений);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основание исключения из Реестра (для субъектов, исключенных из Реестра на основании решения суда о запрещении деятельности или отдельных видов деятельности индивидуального предпринимателя или юридического лица, либо в иных случаях, предусмотренных законами Республики Казахстан). 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Сведения, указанные в подпунктах 1) – 11)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подлежат обязательному заполнению для всех субъектов, подавших уведомление. Сведения, приведенные в подпунктах 12) – 18) пункта 16 настоящих Правил, подлежат заполнению, в случае если они предусмотрены в рамках соответствующего уведомления. 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Для уведомлений, в рамках которых предусмотрено предоставление сведений об объектах деятельности, дополнительно заполняются следующие поля: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идентификатор объекта (код, наименование);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адрес местонахождения объекта;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дата начала деятельности по объекту;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дата окончания деятельности по объекту;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статус объекта;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период приостановления деятельности по объекту (для объектов, по которым деятельность субъекта была приостановлена судом);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дата изменения сведений по объекту. </w:t>
      </w:r>
    </w:p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Полный состав сведений по субъекту, подавшему уведомление, с учетом специфичных полей уведомления, не вошедших в состав сведений реестра, просматривается в детальных сведениях по субъекту. 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реестре субъектов, подавших уведомление предусмотрена возможность загрузки форм представления уведомлений в электронном виде о начале деятельности (действия), изменении данных, прекращении деятельности (действия). 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Внесение сведений в реестр субъектов, подавших уведомление, осуществляется посредством Системы следующими способами: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автоматически на основании уведомлений в электронной форме, представленных заявителями через внешний портал;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государственными органами, осуществляющими прием уведомлений, на основании уведомлений, представленных заявителями в бумажной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государственными органами, осуществляющими прием уведомлений, на основании решения суда о запрещении деятельности или отдельных видов деятельности индивидуального предпринимателя или юридического лица, в случае приостановления деятельности судом либо в иных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Ввод исторических данных в реестр субъектов, подавших уведомление, производится органами, осуществляющими прием уведомлений, посредством Системы. 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При вводе исторических данных заполняются поля реестра субъектов, подавших уведомление,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вводе исторических данных по субъектам, подавшим уведомление, не требуется удостоверения сведений Реестра ЭЦП должностного лица государственного органа, осуществляющего прием уведомлений. 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вводе государственными органами, осуществляющими прием уведомлений, исторических данных в Реестр, автоматически формируется идентификационный номер уведомлений о начале деятельности.</w:t>
      </w:r>
    </w:p>
    <w:bookmarkEnd w:id="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