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389e" w14:textId="5443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17 ноября 2015 года № 565. Зарегистрирован в Министерстве юстиции Республики Казахстан 10 декабря 2015 года № 12377</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некоторые приказы Министра финансов Республики Казахстан следующие изменения:</w:t>
      </w:r>
      <w:r>
        <w:br/>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2014 года № 494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под № 9892, опубликованный в газете «Казахстанская правда» от 19 мая 2015 года № 91 (27967):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Единой бюджетной классификации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Бюджетная программа администратора республиканских бюджетных программ, разрабатывающего стратегический план, определяет направление расходов республиканского бюджета, взаимоувязанное с целями, определенными в стратегическом плане.</w:t>
      </w:r>
      <w:r>
        <w:br/>
      </w:r>
      <w:r>
        <w:rPr>
          <w:rFonts w:ascii="Times New Roman"/>
          <w:b w:val="false"/>
          <w:i w:val="false"/>
          <w:color w:val="000000"/>
          <w:sz w:val="28"/>
        </w:rPr>
        <w:t>
      Бюджетная программа администратора республиканских бюджетных программ, не разрабатывающего стратегический план, определяет направление расходов республиканского бюджета, взаимоувязанное с полномочиями, определенными в положении о государственном органе.</w:t>
      </w:r>
      <w:r>
        <w:br/>
      </w: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соответствующей программе развития территории, либо с полномочиями, определенными в положении о государственном органе.</w:t>
      </w:r>
      <w:r>
        <w:br/>
      </w:r>
      <w:r>
        <w:rPr>
          <w:rFonts w:ascii="Times New Roman"/>
          <w:b w:val="false"/>
          <w:i w:val="false"/>
          <w:color w:val="000000"/>
          <w:sz w:val="28"/>
        </w:rPr>
        <w:t>
      Классификационный код бюджетной программы состоит из 3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Бюджетная подпрограмма раскрывает конкретные направления расходования бюджетных средств, нацеленные на достижение цели стратегического плана, программы развития территории и (или) конечного результата бюджетной программы и закрепляется в той функциональной группе, функциональной подгруппе что и бюджетная программа.</w:t>
      </w:r>
      <w:r>
        <w:br/>
      </w: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r>
        <w:br/>
      </w: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r>
        <w:br/>
      </w:r>
      <w:r>
        <w:rPr>
          <w:rFonts w:ascii="Times New Roman"/>
          <w:b w:val="false"/>
          <w:i w:val="false"/>
          <w:color w:val="000000"/>
          <w:sz w:val="28"/>
        </w:rPr>
        <w:t>
      Если программа не подразделяется на подпрограммы, вместо них указывается классификационный код 000.»;</w:t>
      </w:r>
      <w:r>
        <w:br/>
      </w:r>
      <w:r>
        <w:rPr>
          <w:rFonts w:ascii="Times New Roman"/>
          <w:b w:val="false"/>
          <w:i w:val="false"/>
          <w:color w:val="000000"/>
          <w:sz w:val="28"/>
        </w:rPr>
        <w:t>
      подпункт 1)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зависимости от содержания на:</w:t>
      </w:r>
      <w:r>
        <w:br/>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вложение целевого вклада;</w:t>
      </w:r>
      <w:r>
        <w:br/>
      </w:r>
      <w:r>
        <w:rPr>
          <w:rFonts w:ascii="Times New Roman"/>
          <w:b w:val="false"/>
          <w:i w:val="false"/>
          <w:color w:val="000000"/>
          <w:sz w:val="28"/>
        </w:rPr>
        <w:t>
      целевое перечисление.</w:t>
      </w:r>
      <w:r>
        <w:br/>
      </w:r>
      <w:r>
        <w:rPr>
          <w:rFonts w:ascii="Times New Roman"/>
          <w:b w:val="false"/>
          <w:i w:val="false"/>
          <w:color w:val="000000"/>
          <w:sz w:val="28"/>
        </w:rPr>
        <w:t>
      Для достижения цели стратегического плана или программы развития территории,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8 января 2015 года):</w:t>
      </w:r>
      <w:r>
        <w:br/>
      </w:r>
      <w:r>
        <w:rPr>
          <w:rFonts w:ascii="Times New Roman"/>
          <w:b w:val="false"/>
          <w:i w:val="false"/>
          <w:color w:val="000000"/>
          <w:sz w:val="28"/>
        </w:rPr>
        <w:t>
</w:t>
      </w:r>
      <w:r>
        <w:rPr>
          <w:rFonts w:ascii="Times New Roman"/>
          <w:b w:val="false"/>
          <w:i w:val="false"/>
          <w:color w:val="000000"/>
          <w:sz w:val="28"/>
        </w:rPr>
        <w:t>
      в Правилах составления и представления бюджетной заявки,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r>
        <w:br/>
      </w: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r>
        <w:br/>
      </w:r>
      <w:r>
        <w:rPr>
          <w:rFonts w:ascii="Times New Roman"/>
          <w:b w:val="false"/>
          <w:i w:val="false"/>
          <w:color w:val="000000"/>
          <w:sz w:val="28"/>
        </w:rPr>
        <w:t>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r>
        <w:br/>
      </w:r>
      <w:r>
        <w:rPr>
          <w:rFonts w:ascii="Times New Roman"/>
          <w:b w:val="false"/>
          <w:i w:val="false"/>
          <w:color w:val="000000"/>
          <w:sz w:val="28"/>
        </w:rPr>
        <w:t>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r>
        <w:br/>
      </w:r>
      <w:r>
        <w:rPr>
          <w:rFonts w:ascii="Times New Roman"/>
          <w:b w:val="false"/>
          <w:i w:val="false"/>
          <w:color w:val="000000"/>
          <w:sz w:val="28"/>
        </w:rPr>
        <w:t>
      При планировании расходов на представительские затраты следует руководствоваться нормами представительских затрат,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зарегистрированного в Реестре государственной регистрации нормативных правовых актов под № 9934.»;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Пояснительная записка составляется в произвольной форме, информация в ней излагается кратко.</w:t>
      </w:r>
      <w:r>
        <w:br/>
      </w:r>
      <w:r>
        <w:rPr>
          <w:rFonts w:ascii="Times New Roman"/>
          <w:b w:val="false"/>
          <w:i w:val="false"/>
          <w:color w:val="000000"/>
          <w:sz w:val="28"/>
        </w:rPr>
        <w:t>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пояснительная записка к бюджетной заявке содержит:</w:t>
      </w:r>
      <w:r>
        <w:br/>
      </w:r>
      <w:r>
        <w:rPr>
          <w:rFonts w:ascii="Times New Roman"/>
          <w:b w:val="false"/>
          <w:i w:val="false"/>
          <w:color w:val="000000"/>
          <w:sz w:val="28"/>
        </w:rPr>
        <w:t>
      краткое описание достигнутых показателей результатов за отчетный финансовый год;</w:t>
      </w:r>
      <w:r>
        <w:br/>
      </w:r>
      <w:r>
        <w:rPr>
          <w:rFonts w:ascii="Times New Roman"/>
          <w:b w:val="false"/>
          <w:i w:val="false"/>
          <w:color w:val="000000"/>
          <w:sz w:val="28"/>
        </w:rPr>
        <w:t>
      краткое описание текущей ситуации, имеющихся проблем;</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r>
        <w:br/>
      </w:r>
      <w:r>
        <w:rPr>
          <w:rFonts w:ascii="Times New Roman"/>
          <w:b w:val="false"/>
          <w:i w:val="false"/>
          <w:color w:val="000000"/>
          <w:sz w:val="28"/>
        </w:rPr>
        <w:t>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r>
        <w:br/>
      </w: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r>
        <w:br/>
      </w:r>
      <w:r>
        <w:rPr>
          <w:rFonts w:ascii="Times New Roman"/>
          <w:b w:val="false"/>
          <w:i w:val="false"/>
          <w:color w:val="000000"/>
          <w:sz w:val="28"/>
        </w:rPr>
        <w:t>
      70.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r>
        <w:br/>
      </w: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71.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