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e809" w14:textId="8bde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Приказ Министра энергетики Республики Казахстан от 3 декабря 2015 года № 688. Зарегистрирован в Министерстве юстиции Республики Казахстан 25 декабря 2015 года № 12510.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п.4.</w:t>
      </w:r>
    </w:p>
    <w:bookmarkStart w:name="z20" w:id="0"/>
    <w:p>
      <w:pPr>
        <w:spacing w:after="0"/>
        <w:ind w:left="0"/>
        <w:jc w:val="both"/>
      </w:pPr>
      <w:r>
        <w:rPr>
          <w:rFonts w:ascii="Times New Roman"/>
          <w:b w:val="false"/>
          <w:i w:val="false"/>
          <w:color w:val="000000"/>
          <w:sz w:val="28"/>
        </w:rPr>
        <w:t xml:space="preserve">
      В соответствии с подпунктом 70-19)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 1 января 2016 года и подлежит официальному опубликованию, за исключением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Правил, которые вводятся в действие с 1 января 2018 года.</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 декабря 2015 года  № 688 </w:t>
            </w:r>
          </w:p>
        </w:tc>
      </w:tr>
    </w:tbl>
    <w:bookmarkStart w:name="z7" w:id="5"/>
    <w:p>
      <w:pPr>
        <w:spacing w:after="0"/>
        <w:ind w:left="0"/>
        <w:jc w:val="left"/>
      </w:pPr>
      <w:r>
        <w:rPr>
          <w:rFonts w:ascii="Times New Roman"/>
          <w:b/>
          <w:i w:val="false"/>
          <w:color w:val="000000"/>
        </w:rPr>
        <w:t xml:space="preserve">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17.11.2020 </w:t>
      </w:r>
      <w:r>
        <w:rPr>
          <w:rFonts w:ascii="Times New Roman"/>
          <w:b w:val="false"/>
          <w:i w:val="false"/>
          <w:color w:val="ff0000"/>
          <w:sz w:val="28"/>
        </w:rPr>
        <w:t>№ 391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6"/>
    <w:p>
      <w:pPr>
        <w:spacing w:after="0"/>
        <w:ind w:left="0"/>
        <w:jc w:val="left"/>
      </w:pPr>
      <w:r>
        <w:rPr>
          <w:rFonts w:ascii="Times New Roman"/>
          <w:b/>
          <w:i w:val="false"/>
          <w:color w:val="000000"/>
        </w:rPr>
        <w:t xml:space="preserve"> Глава 1. Общие положения</w:t>
      </w:r>
    </w:p>
    <w:bookmarkEnd w:id="6"/>
    <w:bookmarkStart w:name="z23" w:id="7"/>
    <w:p>
      <w:pPr>
        <w:spacing w:after="0"/>
        <w:ind w:left="0"/>
        <w:jc w:val="both"/>
      </w:pPr>
      <w:r>
        <w:rPr>
          <w:rFonts w:ascii="Times New Roman"/>
          <w:b w:val="false"/>
          <w:i w:val="false"/>
          <w:color w:val="000000"/>
          <w:sz w:val="28"/>
        </w:rPr>
        <w:t xml:space="preserve">
      1. Настоящие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(далее – Правила) разработаны в соответствии с подпунктом 70-19)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определяют порядок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bookmarkEnd w:id="7"/>
    <w:bookmarkStart w:name="z24" w:id="8"/>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8"/>
    <w:bookmarkStart w:name="z25" w:id="9"/>
    <w:p>
      <w:pPr>
        <w:spacing w:after="0"/>
        <w:ind w:left="0"/>
        <w:jc w:val="both"/>
      </w:pPr>
      <w:r>
        <w:rPr>
          <w:rFonts w:ascii="Times New Roman"/>
          <w:b w:val="false"/>
          <w:i w:val="false"/>
          <w:color w:val="000000"/>
          <w:sz w:val="28"/>
        </w:rPr>
        <w:t>
      1) минимальная электрическая мощность генерирующей установки (при заданном уровне ее тепловой нагрузки) – минимальное значение электрической мощности генерации генерирующей установки, соответствующая ее заданному уровню тепловой нагрузки согласно графику зависимости данной генерирующей установки;</w:t>
      </w:r>
    </w:p>
    <w:bookmarkEnd w:id="9"/>
    <w:bookmarkStart w:name="z26" w:id="10"/>
    <w:p>
      <w:pPr>
        <w:spacing w:after="0"/>
        <w:ind w:left="0"/>
        <w:jc w:val="both"/>
      </w:pPr>
      <w:r>
        <w:rPr>
          <w:rFonts w:ascii="Times New Roman"/>
          <w:b w:val="false"/>
          <w:i w:val="false"/>
          <w:color w:val="000000"/>
          <w:sz w:val="28"/>
        </w:rPr>
        <w:t>
      2) дельта – поправка, учитывающая наличие у энергопроизводящей организации объемов услуги по поддержанию готовности электрической мощности, допустимых для продажи (реализации) единому закупщику, в мегаваттах (далее – МВт);</w:t>
      </w:r>
    </w:p>
    <w:bookmarkEnd w:id="10"/>
    <w:bookmarkStart w:name="z27" w:id="11"/>
    <w:p>
      <w:pPr>
        <w:spacing w:after="0"/>
        <w:ind w:left="0"/>
        <w:jc w:val="both"/>
      </w:pPr>
      <w:r>
        <w:rPr>
          <w:rFonts w:ascii="Times New Roman"/>
          <w:b w:val="false"/>
          <w:i w:val="false"/>
          <w:color w:val="000000"/>
          <w:sz w:val="28"/>
        </w:rPr>
        <w:t>
      3) обратная вода – сетевая вода в обратном трубопроводе отопления;</w:t>
      </w:r>
    </w:p>
    <w:bookmarkEnd w:id="11"/>
    <w:bookmarkStart w:name="z28" w:id="12"/>
    <w:p>
      <w:pPr>
        <w:spacing w:after="0"/>
        <w:ind w:left="0"/>
        <w:jc w:val="both"/>
      </w:pPr>
      <w:r>
        <w:rPr>
          <w:rFonts w:ascii="Times New Roman"/>
          <w:b w:val="false"/>
          <w:i w:val="false"/>
          <w:color w:val="000000"/>
          <w:sz w:val="28"/>
        </w:rPr>
        <w:t>
      4) график зависимости – установленная (установленные) заводом-изготовителем либо полученная (полученные) в результате тепловых испытаний характеристика (характеристики) генерирующей установки теплоэлектроцентрали, определяющая (определяющие) взаимную зависимость тепловой нагрузки и электрической мощности генерации данной генерирующей установки;</w:t>
      </w:r>
    </w:p>
    <w:bookmarkEnd w:id="12"/>
    <w:bookmarkStart w:name="z29" w:id="13"/>
    <w:p>
      <w:pPr>
        <w:spacing w:after="0"/>
        <w:ind w:left="0"/>
        <w:jc w:val="both"/>
      </w:pPr>
      <w:r>
        <w:rPr>
          <w:rFonts w:ascii="Times New Roman"/>
          <w:b w:val="false"/>
          <w:i w:val="false"/>
          <w:color w:val="000000"/>
          <w:sz w:val="28"/>
        </w:rPr>
        <w:t>
      5) прямая вода – сетевая вода в подающем трубопроводе отопления;</w:t>
      </w:r>
    </w:p>
    <w:bookmarkEnd w:id="13"/>
    <w:bookmarkStart w:name="z30" w:id="14"/>
    <w:p>
      <w:pPr>
        <w:spacing w:after="0"/>
        <w:ind w:left="0"/>
        <w:jc w:val="both"/>
      </w:pPr>
      <w:r>
        <w:rPr>
          <w:rFonts w:ascii="Times New Roman"/>
          <w:b w:val="false"/>
          <w:i w:val="false"/>
          <w:color w:val="000000"/>
          <w:sz w:val="28"/>
        </w:rPr>
        <w:t>
      6) станция энергопроизводящей организации – теплоэлектроцентраль, входящая в состав действующей энергопроизводящей организации (далее – станция ЭПО).</w:t>
      </w:r>
    </w:p>
    <w:bookmarkEnd w:id="14"/>
    <w:bookmarkStart w:name="z31" w:id="15"/>
    <w:p>
      <w:pPr>
        <w:spacing w:after="0"/>
        <w:ind w:left="0"/>
        <w:jc w:val="left"/>
      </w:pPr>
      <w:r>
        <w:rPr>
          <w:rFonts w:ascii="Times New Roman"/>
          <w:b/>
          <w:i w:val="false"/>
          <w:color w:val="000000"/>
        </w:rPr>
        <w:t xml:space="preserve"> Глава 2. Порядок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bookmarkEnd w:id="15"/>
    <w:bookmarkStart w:name="z32" w:id="16"/>
    <w:p>
      <w:pPr>
        <w:spacing w:after="0"/>
        <w:ind w:left="0"/>
        <w:jc w:val="both"/>
      </w:pPr>
      <w:r>
        <w:rPr>
          <w:rFonts w:ascii="Times New Roman"/>
          <w:b w:val="false"/>
          <w:i w:val="false"/>
          <w:color w:val="000000"/>
          <w:sz w:val="28"/>
        </w:rPr>
        <w:t xml:space="preserve">
      3. Объем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(далее – Объем услуги), определяется после получения заключения совета рынка, рекомендательного характера, по расчету объема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(далее – Расчет), подготовленного согласно настоящим Правилам и направленного совету рынка действующей энергопроизводящей организацией, в состав которой входят теплоэлектроцентрали, до первого октября года, предшествующего расчетному году,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6"/>
    <w:bookmarkStart w:name="z33" w:id="17"/>
    <w:p>
      <w:pPr>
        <w:spacing w:after="0"/>
        <w:ind w:left="0"/>
        <w:jc w:val="both"/>
      </w:pPr>
      <w:r>
        <w:rPr>
          <w:rFonts w:ascii="Times New Roman"/>
          <w:b w:val="false"/>
          <w:i w:val="false"/>
          <w:color w:val="000000"/>
          <w:sz w:val="28"/>
        </w:rPr>
        <w:t>
      Заключение совета рынка осуществляется посредством получения письма о соответствии Расчета настоящим Правилам.</w:t>
      </w:r>
    </w:p>
    <w:bookmarkEnd w:id="17"/>
    <w:bookmarkStart w:name="z34" w:id="18"/>
    <w:p>
      <w:pPr>
        <w:spacing w:after="0"/>
        <w:ind w:left="0"/>
        <w:jc w:val="both"/>
      </w:pPr>
      <w:r>
        <w:rPr>
          <w:rFonts w:ascii="Times New Roman"/>
          <w:b w:val="false"/>
          <w:i w:val="false"/>
          <w:color w:val="000000"/>
          <w:sz w:val="28"/>
        </w:rPr>
        <w:t>
      Заключение представляется советом рынка в течение восьми рабочих дней со дня внесения ему Расчета действующей энергопроизводящей организацией, в состав которой входят теплоэлектроцентрали.</w:t>
      </w:r>
    </w:p>
    <w:bookmarkEnd w:id="18"/>
    <w:bookmarkStart w:name="z35" w:id="19"/>
    <w:p>
      <w:pPr>
        <w:spacing w:after="0"/>
        <w:ind w:left="0"/>
        <w:jc w:val="both"/>
      </w:pPr>
      <w:r>
        <w:rPr>
          <w:rFonts w:ascii="Times New Roman"/>
          <w:b w:val="false"/>
          <w:i w:val="false"/>
          <w:color w:val="000000"/>
          <w:sz w:val="28"/>
        </w:rPr>
        <w:t>
      4. Расчет Объема услуги осуществляется по следующей формуле:</w:t>
      </w:r>
    </w:p>
    <w:bookmarkEnd w:id="19"/>
    <w:bookmarkStart w:name="z36"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440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06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Объем услуги, в МВт;</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4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66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3429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минимальное из следующих двух значений: 1)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заключенном энергопроизводящей организацией с единым закупщиком после (на основании) заключения с уполномоченным органом в области электроэнергетики инвестиционного соглашения на модернизацию, расширение, реконструкцию и (или) обновление, согласно статье 15-4 Закона (за вычетом учтенного в данном объеме значений электрической мощности конденсационных турбин), 2)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вводимых в эксплуатацию в рамках инвестиционного соглашения на модернизацию, расширение, реконструкцию и (или) обновление, и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модуль</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МВт;</w:t>
      </w:r>
      <w:r>
        <w:br/>
      </w:r>
      <w:r>
        <w:rPr>
          <w:rFonts w:ascii="Times New Roman"/>
          <w:b w:val="false"/>
          <w:i w:val="false"/>
          <w:color w:val="000000"/>
          <w:sz w:val="28"/>
        </w:rPr>
        <w:t>
</w:t>
      </w:r>
    </w:p>
    <w:bookmarkStart w:name="z4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дельта, в МВт, рассчитываемая по следующей формуле:</w:t>
      </w:r>
      <w:r>
        <w:br/>
      </w:r>
      <w:r>
        <w:rPr>
          <w:rFonts w:ascii="Times New Roman"/>
          <w:b w:val="false"/>
          <w:i w:val="false"/>
          <w:color w:val="000000"/>
          <w:sz w:val="28"/>
        </w:rPr>
        <w:t>
</w:t>
      </w:r>
    </w:p>
    <w:bookmarkStart w:name="z4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892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92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поправка, в МВт;</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аттестованная электрическая мощность энергопроизводящей организации, в МВт;</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максимальная за соответствующий год электрическая мощность экспорта энергопроизводящей организации, указываемая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максимальная за соответствующий год электрическая мощность поставок субъектам розничного рынка энергопроизводящей организации, указываемая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Если в результате определения (дельты) ее значение окажется положительным (больше нуля), то значение (дельты) приравнивается к нулю.</w:t>
      </w:r>
    </w:p>
    <w:bookmarkEnd w:id="34"/>
    <w:bookmarkStart w:name="z51" w:id="35"/>
    <w:p>
      <w:pPr>
        <w:spacing w:after="0"/>
        <w:ind w:left="0"/>
        <w:jc w:val="both"/>
      </w:pPr>
      <w:r>
        <w:rPr>
          <w:rFonts w:ascii="Times New Roman"/>
          <w:b w:val="false"/>
          <w:i w:val="false"/>
          <w:color w:val="000000"/>
          <w:sz w:val="28"/>
        </w:rPr>
        <w:t xml:space="preserve">
      Если в результате определения Объема услуги его значение окажется отрицательным, то значение Объема услуги приравнивается к нулю. </w:t>
      </w:r>
    </w:p>
    <w:bookmarkEnd w:id="35"/>
    <w:bookmarkStart w:name="z52" w:id="36"/>
    <w:p>
      <w:pPr>
        <w:spacing w:after="0"/>
        <w:ind w:left="0"/>
        <w:jc w:val="both"/>
      </w:pPr>
      <w:r>
        <w:rPr>
          <w:rFonts w:ascii="Times New Roman"/>
          <w:b w:val="false"/>
          <w:i w:val="false"/>
          <w:color w:val="000000"/>
          <w:sz w:val="28"/>
        </w:rPr>
        <w:t>
      5.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определяется по следующей формуле:</w:t>
      </w:r>
    </w:p>
    <w:bookmarkEnd w:id="36"/>
    <w:bookmarkStart w:name="z53"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2603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03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 cy="4699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сумма по i;</w:t>
      </w:r>
      <w:r>
        <w:br/>
      </w: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порядковый номер, изменяющийся от 1 до n;</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общее количество теплоэлектроцентралей, входящих в состав действующей энергопроизводящей организации;</w:t>
      </w:r>
      <w:r>
        <w:br/>
      </w: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i-той станции ЭПО, в МВт.</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6.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определяется по формуле:</w:t>
      </w:r>
    </w:p>
    <w:bookmarkEnd w:id="43"/>
    <w:bookmarkStart w:name="z6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284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844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62"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сумма по j;</w:t>
      </w:r>
      <w:r>
        <w:br/>
      </w:r>
      <w:r>
        <w:rPr>
          <w:rFonts w:ascii="Times New Roman"/>
          <w:b w:val="false"/>
          <w:i w:val="false"/>
          <w:color w:val="000000"/>
          <w:sz w:val="28"/>
        </w:rPr>
        <w:t>
</w:t>
      </w:r>
    </w:p>
    <w:bookmarkStart w:name="z6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порядковый номер, изменяющийся от 1 до m;</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общее количество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j-той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66" w:id="50"/>
    <w:p>
      <w:pPr>
        <w:spacing w:after="0"/>
        <w:ind w:left="0"/>
        <w:jc w:val="both"/>
      </w:pPr>
      <w:r>
        <w:rPr>
          <w:rFonts w:ascii="Times New Roman"/>
          <w:b w:val="false"/>
          <w:i w:val="false"/>
          <w:color w:val="000000"/>
          <w:sz w:val="28"/>
        </w:rPr>
        <w:t>
      7.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определяется в следующем порядке:</w:t>
      </w:r>
    </w:p>
    <w:bookmarkEnd w:id="50"/>
    <w:bookmarkStart w:name="z67" w:id="51"/>
    <w:p>
      <w:pPr>
        <w:spacing w:after="0"/>
        <w:ind w:left="0"/>
        <w:jc w:val="both"/>
      </w:pPr>
      <w:r>
        <w:rPr>
          <w:rFonts w:ascii="Times New Roman"/>
          <w:b w:val="false"/>
          <w:i w:val="false"/>
          <w:color w:val="000000"/>
          <w:sz w:val="28"/>
        </w:rPr>
        <w:t>
      1) рассчитывается максимальное за соответствующий год заданное значение мощности отпуска тепла станции ЭПО с оборотной водой:</w:t>
      </w:r>
    </w:p>
    <w:bookmarkEnd w:id="51"/>
    <w:bookmarkStart w:name="z6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003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03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удельная теплоемкость воды, равная 1,0 ккал/(кг*Со);</w:t>
      </w: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74"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2) рассчитывается максимальное за соответствующий год заданное значение мощности отпуска тепла станции ЭПО с подпиткой:</w:t>
      </w:r>
    </w:p>
    <w:bookmarkEnd w:id="59"/>
    <w:bookmarkStart w:name="z7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3886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886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удельная теплоемкость воды, равная 1,0 ккал/(кг*Со);</w:t>
      </w:r>
      <w:r>
        <w:br/>
      </w:r>
      <w:r>
        <w:rPr>
          <w:rFonts w:ascii="Times New Roman"/>
          <w:b w:val="false"/>
          <w:i w:val="false"/>
          <w:color w:val="000000"/>
          <w:sz w:val="28"/>
        </w:rPr>
        <w:t>
</w:t>
      </w:r>
    </w:p>
    <w:bookmarkStart w:name="z7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80"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8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3) рассчитывается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задействованных в обеспечении теплоснабжением потребителей в период прохождения осенне-зимнего периода:</w:t>
      </w:r>
    </w:p>
    <w:bookmarkEnd w:id="66"/>
    <w:bookmarkStart w:name="z8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387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87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8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необходимой мощности отпуска тепла станции ЭПО с оборотной водой, в Гкал/ч;</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4) рассчитывается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(далее – заданный уровень тепловой нагрузки генерирующей установки станции ЭПО):</w:t>
      </w:r>
    </w:p>
    <w:bookmarkEnd w:id="73"/>
    <w:bookmarkStart w:name="z9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692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692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заданный уровень тепловой нагрузки генерирующей установки станции ЭПО, в Гкал/ч;</w:t>
      </w:r>
      <w:r>
        <w:br/>
      </w: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максимальный за соответствующий год заданный уровень тепловой нагрузки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5" w:id="79"/>
    <w:p>
      <w:pPr>
        <w:spacing w:after="0"/>
        <w:ind w:left="0"/>
        <w:jc w:val="both"/>
      </w:pPr>
      <w:r>
        <w:rPr>
          <w:rFonts w:ascii="Times New Roman"/>
          <w:b w:val="false"/>
          <w:i w:val="false"/>
          <w:color w:val="000000"/>
          <w:sz w:val="28"/>
        </w:rPr>
        <w:t>
      В случае, если в рассчитанный заданный уровень тепловой нагрузки генерирующей установки станции ЭПО превышает установленную тепловую мощность генерирующей установки, то заданный уровень тепловой нагрузки генерирующей установки станции ЭПО приравнивается к ее установленной тепловой мощности. При этом, объем указанного превышения подлежит перераспределению между другими генерирующими установками станции ЭПО, у которых такого превышения нет. Обоснование перераспределения отражаются в Расчете.</w:t>
      </w:r>
    </w:p>
    <w:bookmarkEnd w:id="79"/>
    <w:bookmarkStart w:name="z96" w:id="80"/>
    <w:p>
      <w:pPr>
        <w:spacing w:after="0"/>
        <w:ind w:left="0"/>
        <w:jc w:val="both"/>
      </w:pPr>
      <w:r>
        <w:rPr>
          <w:rFonts w:ascii="Times New Roman"/>
          <w:b w:val="false"/>
          <w:i w:val="false"/>
          <w:color w:val="000000"/>
          <w:sz w:val="28"/>
        </w:rPr>
        <w:t>
      Для предвключенных генерирующих установок станции ЭПО не применяются расчеты, осуществляемые в соответствии с настоящим подпунктом. При этом, к таким генерирующим установкам применяются расчеты, осуществляемые согласно подпункту 5) настоящего пункта;</w:t>
      </w:r>
    </w:p>
    <w:bookmarkEnd w:id="80"/>
    <w:bookmarkStart w:name="z97" w:id="81"/>
    <w:p>
      <w:pPr>
        <w:spacing w:after="0"/>
        <w:ind w:left="0"/>
        <w:jc w:val="both"/>
      </w:pPr>
      <w:r>
        <w:rPr>
          <w:rFonts w:ascii="Times New Roman"/>
          <w:b w:val="false"/>
          <w:i w:val="false"/>
          <w:color w:val="000000"/>
          <w:sz w:val="28"/>
        </w:rPr>
        <w:t>
      5) на основании заданного уровня тепловой нагрузки генерирующей установки станции ЭПО по графику зависимости, соответствующему данной установке, определяется соответствующее плановое максимальное за соответствующий год значение минимальной электрической мощности данной генерирующей установки (при заданном уровне ее тепловой нагрузки), в МВт.</w:t>
      </w:r>
    </w:p>
    <w:bookmarkEnd w:id="81"/>
    <w:bookmarkStart w:name="z98" w:id="82"/>
    <w:p>
      <w:pPr>
        <w:spacing w:after="0"/>
        <w:ind w:left="0"/>
        <w:jc w:val="both"/>
      </w:pPr>
      <w:r>
        <w:rPr>
          <w:rFonts w:ascii="Times New Roman"/>
          <w:b w:val="false"/>
          <w:i w:val="false"/>
          <w:color w:val="000000"/>
          <w:sz w:val="28"/>
        </w:rPr>
        <w:t>
      Для предвключенной генерирующей установки станции ЭПО плановое максимальное за соответствующий год значение минимальной электрической мощности определяется по соответствующему графику зависимости на основании суммы заданных уровней тепловой нагрузки генерирующих установок станции ЭПО, для которых предвключенная генерирующая установка станции ЭПО редуцирует давление пара.</w:t>
      </w:r>
    </w:p>
    <w:bookmarkEnd w:id="82"/>
    <w:bookmarkStart w:name="z99" w:id="83"/>
    <w:p>
      <w:pPr>
        <w:spacing w:after="0"/>
        <w:ind w:left="0"/>
        <w:jc w:val="both"/>
      </w:pPr>
      <w:r>
        <w:rPr>
          <w:rFonts w:ascii="Times New Roman"/>
          <w:b w:val="false"/>
          <w:i w:val="false"/>
          <w:color w:val="000000"/>
          <w:sz w:val="28"/>
        </w:rPr>
        <w:t>
      8. Энергопроизводящая организация, в состав которой входят теплоэлектроцентрали, направляет Расчет и заключение совета рынка единому закупщику до пятнадцатого октября года, в котором данный Расчет внесен на рассмотрение в совет рынка.</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определения объема услуги по </w:t>
            </w:r>
            <w:r>
              <w:br/>
            </w:r>
            <w:r>
              <w:rPr>
                <w:rFonts w:ascii="Times New Roman"/>
                <w:b w:val="false"/>
                <w:i w:val="false"/>
                <w:color w:val="000000"/>
                <w:sz w:val="20"/>
              </w:rPr>
              <w:t xml:space="preserve">поддержанию готовности </w:t>
            </w:r>
            <w:r>
              <w:br/>
            </w:r>
            <w:r>
              <w:rPr>
                <w:rFonts w:ascii="Times New Roman"/>
                <w:b w:val="false"/>
                <w:i w:val="false"/>
                <w:color w:val="000000"/>
                <w:sz w:val="20"/>
              </w:rPr>
              <w:t xml:space="preserve">электрической мощности для </w:t>
            </w:r>
            <w:r>
              <w:br/>
            </w:r>
            <w:r>
              <w:rPr>
                <w:rFonts w:ascii="Times New Roman"/>
                <w:b w:val="false"/>
                <w:i w:val="false"/>
                <w:color w:val="000000"/>
                <w:sz w:val="20"/>
              </w:rPr>
              <w:t xml:space="preserve">договоров о покупке услуги по </w:t>
            </w:r>
            <w:r>
              <w:br/>
            </w:r>
            <w:r>
              <w:rPr>
                <w:rFonts w:ascii="Times New Roman"/>
                <w:b w:val="false"/>
                <w:i w:val="false"/>
                <w:color w:val="000000"/>
                <w:sz w:val="20"/>
              </w:rPr>
              <w:t xml:space="preserve">поддержанию готовности </w:t>
            </w:r>
            <w:r>
              <w:br/>
            </w:r>
            <w:r>
              <w:rPr>
                <w:rFonts w:ascii="Times New Roman"/>
                <w:b w:val="false"/>
                <w:i w:val="false"/>
                <w:color w:val="000000"/>
                <w:sz w:val="20"/>
              </w:rPr>
              <w:t xml:space="preserve">электрической мощности, </w:t>
            </w:r>
            <w:r>
              <w:br/>
            </w:r>
            <w:r>
              <w:rPr>
                <w:rFonts w:ascii="Times New Roman"/>
                <w:b w:val="false"/>
                <w:i w:val="false"/>
                <w:color w:val="000000"/>
                <w:sz w:val="20"/>
              </w:rPr>
              <w:t xml:space="preserve">заключаемых единым </w:t>
            </w:r>
            <w:r>
              <w:br/>
            </w:r>
            <w:r>
              <w:rPr>
                <w:rFonts w:ascii="Times New Roman"/>
                <w:b w:val="false"/>
                <w:i w:val="false"/>
                <w:color w:val="000000"/>
                <w:sz w:val="20"/>
              </w:rPr>
              <w:t xml:space="preserve">закупщиком с действующими </w:t>
            </w:r>
            <w:r>
              <w:br/>
            </w:r>
            <w:r>
              <w:rPr>
                <w:rFonts w:ascii="Times New Roman"/>
                <w:b w:val="false"/>
                <w:i w:val="false"/>
                <w:color w:val="000000"/>
                <w:sz w:val="20"/>
              </w:rPr>
              <w:t xml:space="preserve">энергопроизводящими организациями, </w:t>
            </w:r>
            <w:r>
              <w:br/>
            </w:r>
            <w:r>
              <w:rPr>
                <w:rFonts w:ascii="Times New Roman"/>
                <w:b w:val="false"/>
                <w:i w:val="false"/>
                <w:color w:val="000000"/>
                <w:sz w:val="20"/>
              </w:rPr>
              <w:t xml:space="preserve">в состав которых входят </w:t>
            </w:r>
            <w:r>
              <w:br/>
            </w:r>
            <w:r>
              <w:rPr>
                <w:rFonts w:ascii="Times New Roman"/>
                <w:b w:val="false"/>
                <w:i w:val="false"/>
                <w:color w:val="000000"/>
                <w:sz w:val="20"/>
              </w:rPr>
              <w:t>теплоэлектроцентрали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84"/>
    <w:p>
      <w:pPr>
        <w:spacing w:after="0"/>
        <w:ind w:left="0"/>
        <w:jc w:val="left"/>
      </w:pPr>
      <w:r>
        <w:rPr>
          <w:rFonts w:ascii="Times New Roman"/>
          <w:b/>
          <w:i w:val="false"/>
          <w:color w:val="000000"/>
        </w:rPr>
        <w:t xml:space="preserve"> Расчет объема услуги по поддержанию готовности электрической мощности для договора о покупке услуги по поддержанию готовности электрической мощности</w:t>
      </w:r>
    </w:p>
    <w:bookmarkEnd w:id="84"/>
    <w:bookmarkStart w:name="z103" w:id="85"/>
    <w:p>
      <w:pPr>
        <w:spacing w:after="0"/>
        <w:ind w:left="0"/>
        <w:jc w:val="both"/>
      </w:pPr>
      <w:r>
        <w:rPr>
          <w:rFonts w:ascii="Times New Roman"/>
          <w:b w:val="false"/>
          <w:i w:val="false"/>
          <w:color w:val="000000"/>
          <w:sz w:val="28"/>
        </w:rPr>
        <w:t>
      1. Параметры.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54"/>
        <w:gridCol w:w="2614"/>
        <w:gridCol w:w="2563"/>
        <w:gridCol w:w="2411"/>
        <w:gridCol w:w="3125"/>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6"/>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7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71500" cy="2794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33400" cy="2540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11200" cy="266700"/>
                          </a:xfrm>
                          <a:prstGeom prst="rect">
                            <a:avLst/>
                          </a:prstGeom>
                        </pic:spPr>
                      </pic:pic>
                    </a:graphicData>
                  </a:graphic>
                </wp:inline>
              </w:drawing>
            </w:r>
          </w:p>
          <w:p>
            <w:pPr>
              <w:spacing w:after="0"/>
              <w:ind w:left="0"/>
              <w:jc w:val="both"/>
            </w:pPr>
            <w:r>
              <w:rPr>
                <w:rFonts w:ascii="Times New Roman"/>
                <w:b w:val="false"/>
                <w:i w:val="false"/>
                <w:color w:val="000000"/>
                <w:sz w:val="20"/>
              </w:rPr>
              <w:t>тонн/час</w:t>
            </w: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0"/>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91"/>
    <w:p>
      <w:pPr>
        <w:spacing w:after="0"/>
        <w:ind w:left="0"/>
        <w:jc w:val="both"/>
      </w:pPr>
      <w:r>
        <w:rPr>
          <w:rFonts w:ascii="Times New Roman"/>
          <w:b w:val="false"/>
          <w:i w:val="false"/>
          <w:color w:val="000000"/>
          <w:sz w:val="28"/>
        </w:rPr>
        <w:t>
      Продолжение таблицы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2054"/>
        <w:gridCol w:w="1163"/>
        <w:gridCol w:w="2165"/>
        <w:gridCol w:w="1980"/>
        <w:gridCol w:w="1720"/>
        <w:gridCol w:w="101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2"/>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Параметры***</w:t>
            </w:r>
          </w:p>
          <w:bookmarkEnd w:id="92"/>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3"/>
          <w:p>
            <w:pPr>
              <w:spacing w:after="20"/>
              <w:ind w:left="20"/>
              <w:jc w:val="both"/>
            </w:pPr>
            <w:r>
              <w:rPr>
                <w:rFonts w:ascii="Times New Roman"/>
                <w:b w:val="false"/>
                <w:i w:val="false"/>
                <w:color w:val="000000"/>
                <w:sz w:val="20"/>
              </w:rPr>
              <w:t>
</w:t>
            </w:r>
          </w:p>
          <w:bookmarkEnd w:id="93"/>
          <w:p>
            <w:pPr>
              <w:spacing w:after="20"/>
              <w:ind w:left="2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85800" cy="292100"/>
                          </a:xfrm>
                          <a:prstGeom prst="rect">
                            <a:avLst/>
                          </a:prstGeom>
                        </pic:spPr>
                      </pic:pic>
                    </a:graphicData>
                  </a:graphic>
                </wp:inline>
              </w:drawing>
            </w:r>
          </w:p>
          <w:p>
            <w:pPr>
              <w:spacing w:after="0"/>
              <w:ind w:left="0"/>
              <w:jc w:val="both"/>
            </w:pPr>
            <w:r>
              <w:rPr>
                <w:rFonts w:ascii="Times New Roman"/>
                <w:b w:val="false"/>
                <w:i w:val="false"/>
                <w:color w:val="000000"/>
                <w:sz w:val="20"/>
              </w:rPr>
              <w:t>тонн/час</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35000" cy="3175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794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73100" cy="2667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09600" cy="3175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20700" cy="3175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413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4"/>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95"/>
    <w:p>
      <w:pPr>
        <w:spacing w:after="0"/>
        <w:ind w:left="0"/>
        <w:jc w:val="both"/>
      </w:pPr>
      <w:r>
        <w:rPr>
          <w:rFonts w:ascii="Times New Roman"/>
          <w:b w:val="false"/>
          <w:i w:val="false"/>
          <w:color w:val="000000"/>
          <w:sz w:val="28"/>
        </w:rPr>
        <w:t>
      Примечание:</w:t>
      </w:r>
    </w:p>
    <w:bookmarkEnd w:id="95"/>
    <w:bookmarkStart w:name="z188" w:id="96"/>
    <w:p>
      <w:pPr>
        <w:spacing w:after="0"/>
        <w:ind w:left="0"/>
        <w:jc w:val="both"/>
      </w:pPr>
      <w:r>
        <w:rPr>
          <w:rFonts w:ascii="Times New Roman"/>
          <w:b w:val="false"/>
          <w:i w:val="false"/>
          <w:color w:val="000000"/>
          <w:sz w:val="28"/>
        </w:rPr>
        <w:t>
      МВт – мегаватт;</w:t>
      </w:r>
    </w:p>
    <w:bookmarkEnd w:id="96"/>
    <w:bookmarkStart w:name="z189" w:id="97"/>
    <w:p>
      <w:pPr>
        <w:spacing w:after="0"/>
        <w:ind w:left="0"/>
        <w:jc w:val="both"/>
      </w:pPr>
      <w:r>
        <w:rPr>
          <w:rFonts w:ascii="Times New Roman"/>
          <w:b w:val="false"/>
          <w:i w:val="false"/>
          <w:color w:val="000000"/>
          <w:sz w:val="28"/>
        </w:rPr>
        <w:t>
      Гкал/ч – гигакалории в час;</w:t>
      </w:r>
    </w:p>
    <w:bookmarkEnd w:id="97"/>
    <w:bookmarkStart w:name="z190" w:id="98"/>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8"/>
    <w:bookmarkStart w:name="z191" w:id="99"/>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99"/>
    <w:bookmarkStart w:name="z192" w:id="100"/>
    <w:p>
      <w:pPr>
        <w:spacing w:after="0"/>
        <w:ind w:left="0"/>
        <w:jc w:val="both"/>
      </w:pPr>
      <w:r>
        <w:rPr>
          <w:rFonts w:ascii="Times New Roman"/>
          <w:b w:val="false"/>
          <w:i w:val="false"/>
          <w:color w:val="000000"/>
          <w:sz w:val="28"/>
        </w:rPr>
        <w:t>
      *** - для параметров использованы следующие обозначения:</w:t>
      </w:r>
    </w:p>
    <w:bookmarkEnd w:id="100"/>
    <w:bookmarkStart w:name="z193" w:id="101"/>
    <w:p>
      <w:pPr>
        <w:spacing w:after="0"/>
        <w:ind w:left="0"/>
        <w:jc w:val="both"/>
      </w:pPr>
      <w:r>
        <w:rPr>
          <w:rFonts w:ascii="Times New Roman"/>
          <w:b w:val="false"/>
          <w:i w:val="false"/>
          <w:color w:val="000000"/>
          <w:sz w:val="28"/>
        </w:rPr>
        <w:t xml:space="preserve">
      1) </w:t>
      </w:r>
    </w:p>
    <w:bookmarkEnd w:id="101"/>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средняя температура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194" w:id="102"/>
    <w:p>
      <w:pPr>
        <w:spacing w:after="0"/>
        <w:ind w:left="0"/>
        <w:jc w:val="both"/>
      </w:pPr>
      <w:r>
        <w:rPr>
          <w:rFonts w:ascii="Times New Roman"/>
          <w:b w:val="false"/>
          <w:i w:val="false"/>
          <w:color w:val="000000"/>
          <w:sz w:val="28"/>
        </w:rPr>
        <w:t xml:space="preserve">
      2) </w:t>
      </w:r>
    </w:p>
    <w:bookmarkEnd w:id="102"/>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195" w:id="103"/>
    <w:p>
      <w:pPr>
        <w:spacing w:after="0"/>
        <w:ind w:left="0"/>
        <w:jc w:val="both"/>
      </w:pPr>
      <w:r>
        <w:rPr>
          <w:rFonts w:ascii="Times New Roman"/>
          <w:b w:val="false"/>
          <w:i w:val="false"/>
          <w:color w:val="000000"/>
          <w:sz w:val="28"/>
        </w:rPr>
        <w:t xml:space="preserve">
      3) </w:t>
      </w:r>
    </w:p>
    <w:bookmarkEnd w:id="103"/>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196" w:id="104"/>
    <w:p>
      <w:pPr>
        <w:spacing w:after="0"/>
        <w:ind w:left="0"/>
        <w:jc w:val="both"/>
      </w:pPr>
      <w:r>
        <w:rPr>
          <w:rFonts w:ascii="Times New Roman"/>
          <w:b w:val="false"/>
          <w:i w:val="false"/>
          <w:color w:val="000000"/>
          <w:sz w:val="28"/>
        </w:rPr>
        <w:t xml:space="preserve">
      4) </w:t>
      </w:r>
    </w:p>
    <w:bookmarkEnd w:id="104"/>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197" w:id="105"/>
    <w:p>
      <w:pPr>
        <w:spacing w:after="0"/>
        <w:ind w:left="0"/>
        <w:jc w:val="both"/>
      </w:pPr>
      <w:r>
        <w:rPr>
          <w:rFonts w:ascii="Times New Roman"/>
          <w:b w:val="false"/>
          <w:i w:val="false"/>
          <w:color w:val="000000"/>
          <w:sz w:val="28"/>
        </w:rPr>
        <w:t xml:space="preserve">
      5) </w:t>
      </w:r>
    </w:p>
    <w:bookmarkEnd w:id="105"/>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198" w:id="106"/>
    <w:p>
      <w:pPr>
        <w:spacing w:after="0"/>
        <w:ind w:left="0"/>
        <w:jc w:val="both"/>
      </w:pPr>
      <w:r>
        <w:rPr>
          <w:rFonts w:ascii="Times New Roman"/>
          <w:b w:val="false"/>
          <w:i w:val="false"/>
          <w:color w:val="000000"/>
          <w:sz w:val="28"/>
        </w:rPr>
        <w:t xml:space="preserve">
      6) </w:t>
      </w:r>
    </w:p>
    <w:bookmarkEnd w:id="106"/>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199" w:id="107"/>
    <w:p>
      <w:pPr>
        <w:spacing w:after="0"/>
        <w:ind w:left="0"/>
        <w:jc w:val="both"/>
      </w:pPr>
      <w:r>
        <w:rPr>
          <w:rFonts w:ascii="Times New Roman"/>
          <w:b w:val="false"/>
          <w:i w:val="false"/>
          <w:color w:val="000000"/>
          <w:sz w:val="28"/>
        </w:rPr>
        <w:t xml:space="preserve">
      7) </w:t>
      </w:r>
    </w:p>
    <w:bookmarkEnd w:id="107"/>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оС;</w:t>
      </w:r>
      <w:r>
        <w:br/>
      </w:r>
      <w:r>
        <w:rPr>
          <w:rFonts w:ascii="Times New Roman"/>
          <w:b w:val="false"/>
          <w:i w:val="false"/>
          <w:color w:val="000000"/>
          <w:sz w:val="28"/>
        </w:rPr>
        <w:t>
</w:t>
      </w:r>
    </w:p>
    <w:bookmarkStart w:name="z200" w:id="108"/>
    <w:p>
      <w:pPr>
        <w:spacing w:after="0"/>
        <w:ind w:left="0"/>
        <w:jc w:val="both"/>
      </w:pPr>
      <w:r>
        <w:rPr>
          <w:rFonts w:ascii="Times New Roman"/>
          <w:b w:val="false"/>
          <w:i w:val="false"/>
          <w:color w:val="000000"/>
          <w:sz w:val="28"/>
        </w:rPr>
        <w:t xml:space="preserve">
      8) </w:t>
      </w:r>
    </w:p>
    <w:bookmarkEnd w:id="108"/>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заданное значение мощности отпуска тепла станции ЭПО с подпиткой, в Гкал/ч;</w:t>
      </w:r>
      <w:r>
        <w:br/>
      </w:r>
      <w:r>
        <w:rPr>
          <w:rFonts w:ascii="Times New Roman"/>
          <w:b w:val="false"/>
          <w:i w:val="false"/>
          <w:color w:val="000000"/>
          <w:sz w:val="28"/>
        </w:rPr>
        <w:t>
</w:t>
      </w:r>
    </w:p>
    <w:bookmarkStart w:name="z201" w:id="109"/>
    <w:p>
      <w:pPr>
        <w:spacing w:after="0"/>
        <w:ind w:left="0"/>
        <w:jc w:val="both"/>
      </w:pPr>
      <w:r>
        <w:rPr>
          <w:rFonts w:ascii="Times New Roman"/>
          <w:b w:val="false"/>
          <w:i w:val="false"/>
          <w:color w:val="000000"/>
          <w:sz w:val="28"/>
        </w:rPr>
        <w:t xml:space="preserve">
      9) </w:t>
      </w:r>
    </w:p>
    <w:bookmarkEnd w:id="109"/>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r>
        <w:br/>
      </w:r>
      <w:r>
        <w:rPr>
          <w:rFonts w:ascii="Times New Roman"/>
          <w:b w:val="false"/>
          <w:i w:val="false"/>
          <w:color w:val="000000"/>
          <w:sz w:val="28"/>
        </w:rPr>
        <w:t>
</w:t>
      </w:r>
    </w:p>
    <w:bookmarkStart w:name="z202" w:id="110"/>
    <w:p>
      <w:pPr>
        <w:spacing w:after="0"/>
        <w:ind w:left="0"/>
        <w:jc w:val="both"/>
      </w:pPr>
      <w:r>
        <w:rPr>
          <w:rFonts w:ascii="Times New Roman"/>
          <w:b w:val="false"/>
          <w:i w:val="false"/>
          <w:color w:val="000000"/>
          <w:sz w:val="28"/>
        </w:rPr>
        <w:t xml:space="preserve">
      10) </w:t>
      </w:r>
    </w:p>
    <w:bookmarkEnd w:id="110"/>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203" w:id="111"/>
    <w:p>
      <w:pPr>
        <w:spacing w:after="0"/>
        <w:ind w:left="0"/>
        <w:jc w:val="both"/>
      </w:pPr>
      <w:r>
        <w:rPr>
          <w:rFonts w:ascii="Times New Roman"/>
          <w:b w:val="false"/>
          <w:i w:val="false"/>
          <w:color w:val="000000"/>
          <w:sz w:val="28"/>
        </w:rPr>
        <w:t xml:space="preserve">
      11) </w:t>
      </w:r>
    </w:p>
    <w:bookmarkEnd w:id="111"/>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974"/>
        <w:gridCol w:w="2147"/>
        <w:gridCol w:w="2418"/>
        <w:gridCol w:w="1469"/>
        <w:gridCol w:w="2452"/>
        <w:gridCol w:w="2419"/>
      </w:tblGrid>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2"/>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736600" cy="3556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38200" cy="3810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82600" cy="317500"/>
                          </a:xfrm>
                          <a:prstGeom prst="rect">
                            <a:avLst/>
                          </a:prstGeom>
                        </pic:spPr>
                      </pic:pic>
                    </a:graphicData>
                  </a:graphic>
                </wp:inline>
              </w:drawing>
            </w:r>
          </w:p>
          <w:p>
            <w:pPr>
              <w:spacing w:after="0"/>
              <w:ind w:left="0"/>
              <w:jc w:val="both"/>
            </w:pPr>
            <w:r>
              <w:rPr>
                <w:rFonts w:ascii="Times New Roman"/>
                <w:b w:val="false"/>
                <w:i w:val="false"/>
                <w:color w:val="000000"/>
                <w:sz w:val="20"/>
              </w:rPr>
              <w:t>Гкал/ч</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8509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38200" cy="4318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3"/>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4"/>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1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6"/>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49" w:id="117"/>
    <w:p>
      <w:pPr>
        <w:spacing w:after="0"/>
        <w:ind w:left="0"/>
        <w:jc w:val="both"/>
      </w:pPr>
      <w:r>
        <w:rPr>
          <w:rFonts w:ascii="Times New Roman"/>
          <w:b w:val="false"/>
          <w:i w:val="false"/>
          <w:color w:val="000000"/>
          <w:sz w:val="28"/>
        </w:rPr>
        <w:t>
      Примечание:</w:t>
      </w:r>
    </w:p>
    <w:bookmarkEnd w:id="117"/>
    <w:bookmarkStart w:name="z250" w:id="118"/>
    <w:p>
      <w:pPr>
        <w:spacing w:after="0"/>
        <w:ind w:left="0"/>
        <w:jc w:val="both"/>
      </w:pPr>
      <w:r>
        <w:rPr>
          <w:rFonts w:ascii="Times New Roman"/>
          <w:b w:val="false"/>
          <w:i w:val="false"/>
          <w:color w:val="000000"/>
          <w:sz w:val="28"/>
        </w:rPr>
        <w:t>
      МВт – мегаватт;</w:t>
      </w:r>
    </w:p>
    <w:bookmarkEnd w:id="118"/>
    <w:bookmarkStart w:name="z251" w:id="119"/>
    <w:p>
      <w:pPr>
        <w:spacing w:after="0"/>
        <w:ind w:left="0"/>
        <w:jc w:val="both"/>
      </w:pPr>
      <w:r>
        <w:rPr>
          <w:rFonts w:ascii="Times New Roman"/>
          <w:b w:val="false"/>
          <w:i w:val="false"/>
          <w:color w:val="000000"/>
          <w:sz w:val="28"/>
        </w:rPr>
        <w:t>
      Гкал/ч – гигакалории в час;</w:t>
      </w:r>
    </w:p>
    <w:bookmarkEnd w:id="119"/>
    <w:bookmarkStart w:name="z252" w:id="120"/>
    <w:p>
      <w:pPr>
        <w:spacing w:after="0"/>
        <w:ind w:left="0"/>
        <w:jc w:val="both"/>
      </w:pPr>
      <w:r>
        <w:rPr>
          <w:rFonts w:ascii="Times New Roman"/>
          <w:b w:val="false"/>
          <w:i w:val="false"/>
          <w:color w:val="000000"/>
          <w:sz w:val="28"/>
        </w:rPr>
        <w:t>
      * - заполняется отдельно по каждой теплоэлектроцентрали, входящей в состав действующей энергопроизводящей организации, при этом, числовые значения параметров таблицы отражаются с точностью до десятых;</w:t>
      </w:r>
    </w:p>
    <w:bookmarkEnd w:id="120"/>
    <w:bookmarkStart w:name="z253" w:id="121"/>
    <w:p>
      <w:pPr>
        <w:spacing w:after="0"/>
        <w:ind w:left="0"/>
        <w:jc w:val="both"/>
      </w:pPr>
      <w:r>
        <w:rPr>
          <w:rFonts w:ascii="Times New Roman"/>
          <w:b w:val="false"/>
          <w:i w:val="false"/>
          <w:color w:val="000000"/>
          <w:sz w:val="28"/>
        </w:rPr>
        <w:t>
      ** - генерирующая установка теплоэлектроцентрали, входящей в состав действующей энергопроизводящей организации (далее – станция ЭПО), имеющая (отопительный) отопительные отборы (отбор) и задействованная в обеспечении теплоснабжением потребителей в период прохождения осенне-зимнего периода;</w:t>
      </w:r>
    </w:p>
    <w:bookmarkEnd w:id="121"/>
    <w:bookmarkStart w:name="z254" w:id="122"/>
    <w:p>
      <w:pPr>
        <w:spacing w:after="0"/>
        <w:ind w:left="0"/>
        <w:jc w:val="both"/>
      </w:pPr>
      <w:r>
        <w:rPr>
          <w:rFonts w:ascii="Times New Roman"/>
          <w:b w:val="false"/>
          <w:i w:val="false"/>
          <w:color w:val="000000"/>
          <w:sz w:val="28"/>
        </w:rPr>
        <w:t>
      *** - для параметров использованы следующие обозначения:</w:t>
      </w:r>
    </w:p>
    <w:bookmarkEnd w:id="122"/>
    <w:bookmarkStart w:name="z255" w:id="123"/>
    <w:p>
      <w:pPr>
        <w:spacing w:after="0"/>
        <w:ind w:left="0"/>
        <w:jc w:val="both"/>
      </w:pPr>
      <w:r>
        <w:rPr>
          <w:rFonts w:ascii="Times New Roman"/>
          <w:b w:val="false"/>
          <w:i w:val="false"/>
          <w:color w:val="000000"/>
          <w:sz w:val="28"/>
        </w:rPr>
        <w:t xml:space="preserve">
      1) </w:t>
      </w:r>
    </w:p>
    <w:bookmarkEnd w:id="123"/>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56" w:id="124"/>
    <w:p>
      <w:pPr>
        <w:spacing w:after="0"/>
        <w:ind w:left="0"/>
        <w:jc w:val="both"/>
      </w:pPr>
      <w:r>
        <w:rPr>
          <w:rFonts w:ascii="Times New Roman"/>
          <w:b w:val="false"/>
          <w:i w:val="false"/>
          <w:color w:val="000000"/>
          <w:sz w:val="28"/>
        </w:rPr>
        <w:t xml:space="preserve">
      2) </w:t>
      </w:r>
    </w:p>
    <w:bookmarkEnd w:id="124"/>
    <w:p>
      <w:pPr>
        <w:spacing w:after="0"/>
        <w:ind w:left="0"/>
        <w:jc w:val="both"/>
      </w:pPr>
      <w:r>
        <w:drawing>
          <wp:inline distT="0" distB="0" distL="0" distR="0">
            <wp:extent cx="787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787400" cy="457200"/>
                    </a:xfrm>
                    <a:prstGeom prst="rect">
                      <a:avLst/>
                    </a:prstGeom>
                  </pic:spPr>
                </pic:pic>
              </a:graphicData>
            </a:graphic>
          </wp:inline>
        </w:drawing>
      </w:r>
    </w:p>
    <w:p>
      <w:pPr>
        <w:spacing w:after="0"/>
        <w:ind w:left="0"/>
        <w:jc w:val="left"/>
      </w:pPr>
      <w:r>
        <w:rPr>
          <w:rFonts w:ascii="Times New Roman"/>
          <w:b w:val="false"/>
          <w:i w:val="false"/>
          <w:color w:val="000000"/>
          <w:sz w:val="28"/>
        </w:rPr>
        <w:t>–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57" w:id="125"/>
    <w:p>
      <w:pPr>
        <w:spacing w:after="0"/>
        <w:ind w:left="0"/>
        <w:jc w:val="both"/>
      </w:pPr>
      <w:r>
        <w:rPr>
          <w:rFonts w:ascii="Times New Roman"/>
          <w:b w:val="false"/>
          <w:i w:val="false"/>
          <w:color w:val="000000"/>
          <w:sz w:val="28"/>
        </w:rPr>
        <w:t xml:space="preserve">
      3) </w:t>
      </w:r>
    </w:p>
    <w:bookmarkEnd w:id="125"/>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258" w:id="126"/>
    <w:p>
      <w:pPr>
        <w:spacing w:after="0"/>
        <w:ind w:left="0"/>
        <w:jc w:val="both"/>
      </w:pPr>
      <w:r>
        <w:rPr>
          <w:rFonts w:ascii="Times New Roman"/>
          <w:b w:val="false"/>
          <w:i w:val="false"/>
          <w:color w:val="000000"/>
          <w:sz w:val="28"/>
        </w:rPr>
        <w:t>
      4)</w:t>
      </w:r>
    </w:p>
    <w:bookmarkEnd w:id="126"/>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259" w:id="127"/>
    <w:p>
      <w:pPr>
        <w:spacing w:after="0"/>
        <w:ind w:left="0"/>
        <w:jc w:val="both"/>
      </w:pPr>
      <w:r>
        <w:rPr>
          <w:rFonts w:ascii="Times New Roman"/>
          <w:b w:val="false"/>
          <w:i w:val="false"/>
          <w:color w:val="000000"/>
          <w:sz w:val="28"/>
        </w:rPr>
        <w:t>
      5)</w:t>
      </w:r>
    </w:p>
    <w:bookmarkEnd w:id="127"/>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023"/>
        <w:gridCol w:w="2756"/>
        <w:gridCol w:w="2895"/>
        <w:gridCol w:w="3174"/>
        <w:gridCol w:w="1874"/>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8"/>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85800" cy="3302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23900" cy="495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МВт</w:t>
            </w: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00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800100" cy="457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МВт</w:t>
            </w: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445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МВт</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00" w:id="133"/>
    <w:p>
      <w:pPr>
        <w:spacing w:after="0"/>
        <w:ind w:left="0"/>
        <w:jc w:val="both"/>
      </w:pPr>
      <w:r>
        <w:rPr>
          <w:rFonts w:ascii="Times New Roman"/>
          <w:b w:val="false"/>
          <w:i w:val="false"/>
          <w:color w:val="000000"/>
          <w:sz w:val="28"/>
        </w:rPr>
        <w:t>
      Примечание:</w:t>
      </w:r>
    </w:p>
    <w:bookmarkEnd w:id="133"/>
    <w:bookmarkStart w:name="z301" w:id="134"/>
    <w:p>
      <w:pPr>
        <w:spacing w:after="0"/>
        <w:ind w:left="0"/>
        <w:jc w:val="both"/>
      </w:pPr>
      <w:r>
        <w:rPr>
          <w:rFonts w:ascii="Times New Roman"/>
          <w:b w:val="false"/>
          <w:i w:val="false"/>
          <w:color w:val="000000"/>
          <w:sz w:val="28"/>
        </w:rPr>
        <w:t>
      МВт – мегаватт;</w:t>
      </w:r>
    </w:p>
    <w:bookmarkEnd w:id="134"/>
    <w:bookmarkStart w:name="z302" w:id="135"/>
    <w:p>
      <w:pPr>
        <w:spacing w:after="0"/>
        <w:ind w:left="0"/>
        <w:jc w:val="both"/>
      </w:pPr>
      <w:r>
        <w:rPr>
          <w:rFonts w:ascii="Times New Roman"/>
          <w:b w:val="false"/>
          <w:i w:val="false"/>
          <w:color w:val="000000"/>
          <w:sz w:val="28"/>
        </w:rPr>
        <w:t>
      Гкал/ч – гигакалории в час;</w:t>
      </w:r>
    </w:p>
    <w:bookmarkEnd w:id="135"/>
    <w:bookmarkStart w:name="z303" w:id="136"/>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136"/>
    <w:bookmarkStart w:name="z304" w:id="137"/>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 (далее – станция ЭПО);</w:t>
      </w:r>
    </w:p>
    <w:bookmarkEnd w:id="137"/>
    <w:bookmarkStart w:name="z305" w:id="138"/>
    <w:p>
      <w:pPr>
        <w:spacing w:after="0"/>
        <w:ind w:left="0"/>
        <w:jc w:val="both"/>
      </w:pPr>
      <w:r>
        <w:rPr>
          <w:rFonts w:ascii="Times New Roman"/>
          <w:b w:val="false"/>
          <w:i w:val="false"/>
          <w:color w:val="000000"/>
          <w:sz w:val="28"/>
        </w:rPr>
        <w:t>
      *** - для параметров использованы следующие обозначения:</w:t>
      </w:r>
    </w:p>
    <w:bookmarkEnd w:id="138"/>
    <w:bookmarkStart w:name="z306" w:id="139"/>
    <w:p>
      <w:pPr>
        <w:spacing w:after="0"/>
        <w:ind w:left="0"/>
        <w:jc w:val="both"/>
      </w:pPr>
      <w:r>
        <w:rPr>
          <w:rFonts w:ascii="Times New Roman"/>
          <w:b w:val="false"/>
          <w:i w:val="false"/>
          <w:color w:val="000000"/>
          <w:sz w:val="28"/>
        </w:rPr>
        <w:t xml:space="preserve">
      1) </w:t>
      </w:r>
    </w:p>
    <w:bookmarkEnd w:id="139"/>
    <w:p>
      <w:pPr>
        <w:spacing w:after="0"/>
        <w:ind w:left="0"/>
        <w:jc w:val="both"/>
      </w:pPr>
      <w:r>
        <w:drawing>
          <wp:inline distT="0" distB="0" distL="0" distR="0">
            <wp:extent cx="69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98500" cy="4572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307" w:id="140"/>
    <w:p>
      <w:pPr>
        <w:spacing w:after="0"/>
        <w:ind w:left="0"/>
        <w:jc w:val="both"/>
      </w:pPr>
      <w:r>
        <w:rPr>
          <w:rFonts w:ascii="Times New Roman"/>
          <w:b w:val="false"/>
          <w:i w:val="false"/>
          <w:color w:val="000000"/>
          <w:sz w:val="28"/>
        </w:rPr>
        <w:t xml:space="preserve">
      2) </w:t>
      </w:r>
    </w:p>
    <w:bookmarkEnd w:id="140"/>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308" w:id="141"/>
    <w:p>
      <w:pPr>
        <w:spacing w:after="0"/>
        <w:ind w:left="0"/>
        <w:jc w:val="both"/>
      </w:pPr>
      <w:r>
        <w:rPr>
          <w:rFonts w:ascii="Times New Roman"/>
          <w:b w:val="false"/>
          <w:i w:val="false"/>
          <w:color w:val="000000"/>
          <w:sz w:val="28"/>
        </w:rPr>
        <w:t xml:space="preserve">
      3) </w:t>
      </w:r>
    </w:p>
    <w:bookmarkEnd w:id="141"/>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
</w:t>
      </w:r>
    </w:p>
    <w:bookmarkStart w:name="z309" w:id="142"/>
    <w:p>
      <w:pPr>
        <w:spacing w:after="0"/>
        <w:ind w:left="0"/>
        <w:jc w:val="both"/>
      </w:pPr>
      <w:r>
        <w:rPr>
          <w:rFonts w:ascii="Times New Roman"/>
          <w:b w:val="false"/>
          <w:i w:val="false"/>
          <w:color w:val="000000"/>
          <w:sz w:val="28"/>
        </w:rPr>
        <w:t>
      4)</w:t>
      </w:r>
    </w:p>
    <w:bookmarkEnd w:id="142"/>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объем услуги по поддержанию готовности электрической мощности для договора о покупке услуги по поддержанию готовности электрической мощности, заключаемого единым закупщиком с действующей энергопроизводящей организацией, в состав которой входят теплоэлектроцентрали, в МВт.</w:t>
      </w:r>
      <w:r>
        <w:br/>
      </w:r>
      <w:r>
        <w:rPr>
          <w:rFonts w:ascii="Times New Roman"/>
          <w:b w:val="false"/>
          <w:i w:val="false"/>
          <w:color w:val="000000"/>
          <w:sz w:val="28"/>
        </w:rPr>
        <w:t>
</w:t>
      </w:r>
    </w:p>
    <w:bookmarkStart w:name="z310" w:id="143"/>
    <w:p>
      <w:pPr>
        <w:spacing w:after="0"/>
        <w:ind w:left="0"/>
        <w:jc w:val="both"/>
      </w:pPr>
      <w:r>
        <w:rPr>
          <w:rFonts w:ascii="Times New Roman"/>
          <w:b w:val="false"/>
          <w:i w:val="false"/>
          <w:color w:val="000000"/>
          <w:sz w:val="28"/>
        </w:rPr>
        <w:t>
      2. Графики зависимости всех генерирующих установок, указанных в настоящем Расчете (прикладываются к Расчету).</w:t>
      </w:r>
    </w:p>
    <w:bookmarkEnd w:id="143"/>
    <w:bookmarkStart w:name="z311" w:id="144"/>
    <w:p>
      <w:pPr>
        <w:spacing w:after="0"/>
        <w:ind w:left="0"/>
        <w:jc w:val="both"/>
      </w:pPr>
      <w:r>
        <w:rPr>
          <w:rFonts w:ascii="Times New Roman"/>
          <w:b w:val="false"/>
          <w:i w:val="false"/>
          <w:color w:val="000000"/>
          <w:sz w:val="28"/>
        </w:rPr>
        <w:t xml:space="preserve">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 </w:t>
      </w:r>
    </w:p>
    <w:bookmarkEnd w:id="144"/>
    <w:bookmarkStart w:name="z312" w:id="145"/>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145"/>
    <w:bookmarkStart w:name="z313" w:id="146"/>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146"/>
    <w:bookmarkStart w:name="z314" w:id="147"/>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147"/>
    <w:bookmarkStart w:name="z315" w:id="148"/>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148"/>
    <w:bookmarkStart w:name="z316" w:id="149"/>
    <w:p>
      <w:pPr>
        <w:spacing w:after="0"/>
        <w:ind w:left="0"/>
        <w:jc w:val="both"/>
      </w:pPr>
      <w:r>
        <w:rPr>
          <w:rFonts w:ascii="Times New Roman"/>
          <w:b w:val="false"/>
          <w:i w:val="false"/>
          <w:color w:val="000000"/>
          <w:sz w:val="28"/>
        </w:rPr>
        <w:t>
      5. Документы, подтверждающие (прикладываются к Расчету):</w:t>
      </w:r>
    </w:p>
    <w:bookmarkEnd w:id="149"/>
    <w:bookmarkStart w:name="z317" w:id="150"/>
    <w:p>
      <w:pPr>
        <w:spacing w:after="0"/>
        <w:ind w:left="0"/>
        <w:jc w:val="both"/>
      </w:pPr>
      <w:r>
        <w:rPr>
          <w:rFonts w:ascii="Times New Roman"/>
          <w:b w:val="false"/>
          <w:i w:val="false"/>
          <w:color w:val="000000"/>
          <w:sz w:val="28"/>
        </w:rPr>
        <w:t>
      1) дни (даты) самых холодных пятидневок каждого из пяти прошедших осенне-зимних периодов (последних);</w:t>
      </w:r>
    </w:p>
    <w:bookmarkEnd w:id="150"/>
    <w:bookmarkStart w:name="z318" w:id="151"/>
    <w:p>
      <w:pPr>
        <w:spacing w:after="0"/>
        <w:ind w:left="0"/>
        <w:jc w:val="both"/>
      </w:pPr>
      <w:r>
        <w:rPr>
          <w:rFonts w:ascii="Times New Roman"/>
          <w:b w:val="false"/>
          <w:i w:val="false"/>
          <w:color w:val="000000"/>
          <w:sz w:val="28"/>
        </w:rPr>
        <w:t>
      2) средние за самые холодные пятидневки каждого из пяти прошедших осенне-зимних периодов (последних)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151"/>
    <w:bookmarkStart w:name="z319" w:id="152"/>
    <w:p>
      <w:pPr>
        <w:spacing w:after="0"/>
        <w:ind w:left="0"/>
        <w:jc w:val="both"/>
      </w:pPr>
      <w:r>
        <w:rPr>
          <w:rFonts w:ascii="Times New Roman"/>
          <w:b w:val="false"/>
          <w:i w:val="false"/>
          <w:color w:val="000000"/>
          <w:sz w:val="28"/>
        </w:rPr>
        <w:t>
      3) средние за самые холодные пятидневки каждого из пяти прошедших осенне-зимних периодов (последних) значения температуры наружного воздуха;</w:t>
      </w:r>
    </w:p>
    <w:bookmarkEnd w:id="152"/>
    <w:bookmarkStart w:name="z320" w:id="153"/>
    <w:p>
      <w:pPr>
        <w:spacing w:after="0"/>
        <w:ind w:left="0"/>
        <w:jc w:val="both"/>
      </w:pPr>
      <w:r>
        <w:rPr>
          <w:rFonts w:ascii="Times New Roman"/>
          <w:b w:val="false"/>
          <w:i w:val="false"/>
          <w:color w:val="000000"/>
          <w:sz w:val="28"/>
        </w:rPr>
        <w:t>
      4) средние за самые холодные пятидневки каждого из пяти прошедших осенне-зимних периодов (последних) значения температуры исходной сырой воды.</w:t>
      </w:r>
    </w:p>
    <w:bookmarkEnd w:id="153"/>
    <w:bookmarkStart w:name="z321" w:id="154"/>
    <w:p>
      <w:pPr>
        <w:spacing w:after="0"/>
        <w:ind w:left="0"/>
        <w:jc w:val="both"/>
      </w:pPr>
      <w:r>
        <w:rPr>
          <w:rFonts w:ascii="Times New Roman"/>
          <w:b w:val="false"/>
          <w:i w:val="false"/>
          <w:color w:val="000000"/>
          <w:sz w:val="28"/>
        </w:rPr>
        <w:t>
      6. Пошаговое описание вычислений (по формулам, указанных в настоящих Правилах), по результатам которых определены значения параметров, указанных в таблицах 1, 2 и 3 настоящего Расчета (прикладывается к Расчету).</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