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aa4e" w14:textId="486a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ноября 2015 года № 732. Зарегистрирован в Министерстве юстиции Республики Казахстан 28 декабря 2015 года № 12570. Утратил силу приказом и.о. Министра здравоохранения Республики Казахстан от 27 марта 2018 года № 126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27.03.2018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(зарегистрированный в Реестре государственной регистрации нормативных правовых актов за № 10741, опубликованный в информационно-правовой системе "Әділет" 8 июня 2015 года)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утвержденные указанным приказом:</w:t>
      </w:r>
    </w:p>
    <w:bookmarkStart w:name="z4" w:id="2"/>
    <w:p>
      <w:pPr>
        <w:spacing w:after="0"/>
        <w:ind w:left="0"/>
        <w:jc w:val="both"/>
      </w:pPr>
      <w:r>
        <w:rPr>
          <w:rFonts w:ascii="Times New Roman"/>
          <w:b w:val="false"/>
          <w:i w:val="false"/>
          <w:color w:val="000000"/>
          <w:sz w:val="28"/>
        </w:rPr>
        <w:t>
      дополнить пунктом 60-1 следующего содержания:</w:t>
      </w:r>
    </w:p>
    <w:bookmarkEnd w:id="2"/>
    <w:p>
      <w:pPr>
        <w:spacing w:after="0"/>
        <w:ind w:left="0"/>
        <w:jc w:val="both"/>
      </w:pPr>
      <w:r>
        <w:rPr>
          <w:rFonts w:ascii="Times New Roman"/>
          <w:b w:val="false"/>
          <w:i w:val="false"/>
          <w:color w:val="000000"/>
          <w:sz w:val="28"/>
        </w:rPr>
        <w:t>
      "60-1. Формирование плана флюорографического обследования лиц группы "риска" проводится в разрезе терапевтических участков по территориально-производственному принципу помесячно и с нарастанием. Сводный план флюорографического обследования по поликлинике утверждается руководителем данной организации и согласовывается с руководителем ПТО, руководителем территориального подразделения ведомства государственного органа в сфере санитарно-эпидемиологического благополучия населения.";</w:t>
      </w:r>
    </w:p>
    <w:bookmarkStart w:name="z5" w:id="3"/>
    <w:p>
      <w:pPr>
        <w:spacing w:after="0"/>
        <w:ind w:left="0"/>
        <w:jc w:val="both"/>
      </w:pPr>
      <w:r>
        <w:rPr>
          <w:rFonts w:ascii="Times New Roman"/>
          <w:b w:val="false"/>
          <w:i w:val="false"/>
          <w:color w:val="000000"/>
          <w:sz w:val="28"/>
        </w:rPr>
        <w:t>
      дополнить пунктом 70-1 следующего содержания:</w:t>
      </w:r>
    </w:p>
    <w:bookmarkEnd w:id="3"/>
    <w:p>
      <w:pPr>
        <w:spacing w:after="0"/>
        <w:ind w:left="0"/>
        <w:jc w:val="both"/>
      </w:pPr>
      <w:r>
        <w:rPr>
          <w:rFonts w:ascii="Times New Roman"/>
          <w:b w:val="false"/>
          <w:i w:val="false"/>
          <w:color w:val="000000"/>
          <w:sz w:val="28"/>
        </w:rPr>
        <w:t>
      "70-1. Отчет о выполнении плана постановки пробы Манту медицинские организации представляют в территориальные подразделения ведомства государственного органа в сфере санитарно-эпидемиологического благополучия населения ежемесячно по форме согласно приложению 1-1 к настоящим Санитарным правилам.";</w:t>
      </w:r>
    </w:p>
    <w:bookmarkStart w:name="z6" w:id="4"/>
    <w:p>
      <w:pPr>
        <w:spacing w:after="0"/>
        <w:ind w:left="0"/>
        <w:jc w:val="both"/>
      </w:pPr>
      <w:r>
        <w:rPr>
          <w:rFonts w:ascii="Times New Roman"/>
          <w:b w:val="false"/>
          <w:i w:val="false"/>
          <w:color w:val="000000"/>
          <w:sz w:val="28"/>
        </w:rPr>
        <w:t>
      дополнить пунктом 109-1 следующего содержания:</w:t>
      </w:r>
    </w:p>
    <w:bookmarkEnd w:id="4"/>
    <w:p>
      <w:pPr>
        <w:spacing w:after="0"/>
        <w:ind w:left="0"/>
        <w:jc w:val="both"/>
      </w:pPr>
      <w:r>
        <w:rPr>
          <w:rFonts w:ascii="Times New Roman"/>
          <w:b w:val="false"/>
          <w:i w:val="false"/>
          <w:color w:val="000000"/>
          <w:sz w:val="28"/>
        </w:rPr>
        <w:t>
      "109-1. В организациях ПМСП анализ флюороснимка производится в два этапа (двойная читка).";</w:t>
      </w:r>
    </w:p>
    <w:bookmarkStart w:name="z7" w:id="5"/>
    <w:p>
      <w:pPr>
        <w:spacing w:after="0"/>
        <w:ind w:left="0"/>
        <w:jc w:val="both"/>
      </w:pPr>
      <w:r>
        <w:rPr>
          <w:rFonts w:ascii="Times New Roman"/>
          <w:b w:val="false"/>
          <w:i w:val="false"/>
          <w:color w:val="000000"/>
          <w:sz w:val="28"/>
        </w:rPr>
        <w:t>
      дополнить пунктом 111-1 следующего содержания:</w:t>
      </w:r>
    </w:p>
    <w:bookmarkEnd w:id="5"/>
    <w:p>
      <w:pPr>
        <w:spacing w:after="0"/>
        <w:ind w:left="0"/>
        <w:jc w:val="both"/>
      </w:pPr>
      <w:r>
        <w:rPr>
          <w:rFonts w:ascii="Times New Roman"/>
          <w:b w:val="false"/>
          <w:i w:val="false"/>
          <w:color w:val="000000"/>
          <w:sz w:val="28"/>
        </w:rPr>
        <w:t>
      "111-1. Все родильницы, в течении периода нахождения в организации родовспоможения до момента выписки подлежат обязательному обследованию на туберкулез методом флюорографии. Руководители медицинских организаций родовспоможения обеспечивают своевременную изоляцию в отдельную палату женщин в послеродовом периоде с подозрением на туберкулез и в течение шести часов с момента выявления подозрения на туберкулез вызов консультанта врача-фтизиатра и проведение дополнительных исследований с целью подтверждения или исключения туберкулеза.";</w:t>
      </w:r>
    </w:p>
    <w:bookmarkStart w:name="z8" w:id="6"/>
    <w:p>
      <w:pPr>
        <w:spacing w:after="0"/>
        <w:ind w:left="0"/>
        <w:jc w:val="both"/>
      </w:pPr>
      <w:r>
        <w:rPr>
          <w:rFonts w:ascii="Times New Roman"/>
          <w:b w:val="false"/>
          <w:i w:val="false"/>
          <w:color w:val="000000"/>
          <w:sz w:val="28"/>
        </w:rPr>
        <w:t>
      дополнить пунктом 135-1 следующего содержания:</w:t>
      </w:r>
    </w:p>
    <w:bookmarkEnd w:id="6"/>
    <w:p>
      <w:pPr>
        <w:spacing w:after="0"/>
        <w:ind w:left="0"/>
        <w:jc w:val="both"/>
      </w:pPr>
      <w:r>
        <w:rPr>
          <w:rFonts w:ascii="Times New Roman"/>
          <w:b w:val="false"/>
          <w:i w:val="false"/>
          <w:color w:val="000000"/>
          <w:sz w:val="28"/>
        </w:rPr>
        <w:t>
      "135-1. Медицинские работники организации здравоохранения, оказывающие акушерско-гинекологическую помощь проводят разъяснительную работу с беременными женщинами о значимости проведения профилактических прививок против туберкулеза.";</w:t>
      </w:r>
    </w:p>
    <w:bookmarkStart w:name="z9" w:id="7"/>
    <w:p>
      <w:pPr>
        <w:spacing w:after="0"/>
        <w:ind w:left="0"/>
        <w:jc w:val="both"/>
      </w:pPr>
      <w:r>
        <w:rPr>
          <w:rFonts w:ascii="Times New Roman"/>
          <w:b w:val="false"/>
          <w:i w:val="false"/>
          <w:color w:val="000000"/>
          <w:sz w:val="28"/>
        </w:rPr>
        <w:t>
      дополнить главами 24, 25, 26, 27, 28 следующего содержания:</w:t>
      </w:r>
    </w:p>
    <w:bookmarkEnd w:id="7"/>
    <w:p>
      <w:pPr>
        <w:spacing w:after="0"/>
        <w:ind w:left="0"/>
        <w:jc w:val="both"/>
      </w:pPr>
      <w:r>
        <w:rPr>
          <w:rFonts w:ascii="Times New Roman"/>
          <w:b w:val="false"/>
          <w:i w:val="false"/>
          <w:color w:val="000000"/>
          <w:sz w:val="28"/>
        </w:rPr>
        <w:t>
      "24. Санитарно-эпидемиологические требования к организации проведения санитарно-противоэпидемических и санитарно–профилактических мероприятий по предупреждению менингококковой инфекции</w:t>
      </w:r>
    </w:p>
    <w:p>
      <w:pPr>
        <w:spacing w:after="0"/>
        <w:ind w:left="0"/>
        <w:jc w:val="both"/>
      </w:pPr>
      <w:r>
        <w:rPr>
          <w:rFonts w:ascii="Times New Roman"/>
          <w:b w:val="false"/>
          <w:i w:val="false"/>
          <w:color w:val="000000"/>
          <w:sz w:val="28"/>
        </w:rPr>
        <w:t>
      314. В клиническом течении менингококковой инфекции выделяют локализованные (менингококконосительство, назофарингит) и генерализованные (менингит, менингококкцемия, смешанные и другие) формы. Инкубационный период при менигококковой инфекции длится от 2 до 20 дней, чаще 2-4 дня.</w:t>
      </w:r>
    </w:p>
    <w:p>
      <w:pPr>
        <w:spacing w:after="0"/>
        <w:ind w:left="0"/>
        <w:jc w:val="both"/>
      </w:pPr>
      <w:r>
        <w:rPr>
          <w:rFonts w:ascii="Times New Roman"/>
          <w:b w:val="false"/>
          <w:i w:val="false"/>
          <w:color w:val="000000"/>
          <w:sz w:val="28"/>
        </w:rPr>
        <w:t>
      315. Острый назофарингит – протекающая с умеренной лихорадкой в течение 3-5 дней, слабо выраженными симптомами интоксикации и ринофарингитом и не отличается по клиническим симптомам от острого респираторного заболевания другой этиологии, в связи с чем диагноз устанавливается только на основании положительного результата бактериологического исследования носоглоточной слизи.</w:t>
      </w:r>
    </w:p>
    <w:p>
      <w:pPr>
        <w:spacing w:after="0"/>
        <w:ind w:left="0"/>
        <w:jc w:val="both"/>
      </w:pPr>
      <w:r>
        <w:rPr>
          <w:rFonts w:ascii="Times New Roman"/>
          <w:b w:val="false"/>
          <w:i w:val="false"/>
          <w:color w:val="000000"/>
          <w:sz w:val="28"/>
        </w:rPr>
        <w:t>
      316. Менингит начинается остро, с озноба и лихорадки, сильной головной боли и рвоты. У больных развивается светобоязнь, гиперакузия, гиперестезия кожи, затем присоединяются возбуждение и двигательное беспокойство, нарушение сознания от сопора до комы, нарастают менингеальные симптомы. Резко выраженная интоксикация, нарушение сознания, судороги, припадки, парезы черепно-мозговых нервов, атаксия, гемипарезы и параличи, нистагм, мозжечковые нарушения свидетельствуют о менингоэнцефалите. Спинномозговая жидкость при менингите и менингоэнцефалите мутная, содержит большое количество клеток цитоз 0,01 х 10</w:t>
      </w:r>
      <w:r>
        <w:rPr>
          <w:rFonts w:ascii="Times New Roman"/>
          <w:b w:val="false"/>
          <w:i w:val="false"/>
          <w:color w:val="000000"/>
          <w:vertAlign w:val="superscript"/>
        </w:rPr>
        <w:t>9</w:t>
      </w:r>
      <w:r>
        <w:rPr>
          <w:rFonts w:ascii="Times New Roman"/>
          <w:b w:val="false"/>
          <w:i w:val="false"/>
          <w:color w:val="000000"/>
          <w:sz w:val="28"/>
        </w:rPr>
        <w:t>/л и выше, за счет нейтрофилов, содержание белка выше 0,33 г/л, реакции Панди и Нонне-Апельта положительные.</w:t>
      </w:r>
    </w:p>
    <w:p>
      <w:pPr>
        <w:spacing w:after="0"/>
        <w:ind w:left="0"/>
        <w:jc w:val="both"/>
      </w:pPr>
      <w:r>
        <w:rPr>
          <w:rFonts w:ascii="Times New Roman"/>
          <w:b w:val="false"/>
          <w:i w:val="false"/>
          <w:color w:val="000000"/>
          <w:sz w:val="28"/>
        </w:rPr>
        <w:t xml:space="preserve">
      317. Менингококцемия (менингококковый сепсис) начинается остро, у части больных с назофарингита. Температура тела повышается до 40 градусов Цельсия (далее – </w:t>
      </w:r>
      <w:r>
        <w:rPr>
          <w:rFonts w:ascii="Times New Roman"/>
          <w:b w:val="false"/>
          <w:i w:val="false"/>
          <w:color w:val="000000"/>
          <w:vertAlign w:val="superscript"/>
        </w:rPr>
        <w:t>0</w:t>
      </w:r>
      <w:r>
        <w:rPr>
          <w:rFonts w:ascii="Times New Roman"/>
          <w:b w:val="false"/>
          <w:i w:val="false"/>
          <w:color w:val="000000"/>
          <w:sz w:val="28"/>
        </w:rPr>
        <w:t xml:space="preserve">С) и выше, выражены симптомы интоксикации. Характерный симптом – геморрагическая сыпь на туловище, конечностях, ягодицах появляется через 12 – 48 часов от начала заболевания. Элементы сыпи могут быть различной формы от едва заметных петехий до крупных кровоизлияний в кожу багрового цвета, выступающие над поверхностью. В центре кровоизлияния может быть некроз. Менингококцемия может носить молниеносный характер, когда имеет место бурное начало, резкий озноб, появление чувства страха. Температура тела поднимается до 40 – 41 </w:t>
      </w:r>
      <w:r>
        <w:rPr>
          <w:rFonts w:ascii="Times New Roman"/>
          <w:b w:val="false"/>
          <w:i w:val="false"/>
          <w:color w:val="000000"/>
          <w:vertAlign w:val="superscript"/>
        </w:rPr>
        <w:t>0</w:t>
      </w:r>
      <w:r>
        <w:rPr>
          <w:rFonts w:ascii="Times New Roman"/>
          <w:b w:val="false"/>
          <w:i w:val="false"/>
          <w:color w:val="000000"/>
          <w:sz w:val="28"/>
        </w:rPr>
        <w:t>С, затем быстро снижается по мере развития инфекционно-токсического шока (далее - ИТШ). Нарастают одышка, тахикардия, артериальное давление падает, смерть наступает через 6 – 48 часов от начала заболевания.</w:t>
      </w:r>
    </w:p>
    <w:p>
      <w:pPr>
        <w:spacing w:after="0"/>
        <w:ind w:left="0"/>
        <w:jc w:val="both"/>
      </w:pPr>
      <w:r>
        <w:rPr>
          <w:rFonts w:ascii="Times New Roman"/>
          <w:b w:val="false"/>
          <w:i w:val="false"/>
          <w:color w:val="000000"/>
          <w:sz w:val="28"/>
        </w:rPr>
        <w:t>
      318. Эпидемиологический надзор за заболеваемостью менингококковыми инфекциями включает следующие санитарно-противоэпидемические и санитарно–профилактические мероприятия:</w:t>
      </w:r>
    </w:p>
    <w:p>
      <w:pPr>
        <w:spacing w:after="0"/>
        <w:ind w:left="0"/>
        <w:jc w:val="both"/>
      </w:pPr>
      <w:r>
        <w:rPr>
          <w:rFonts w:ascii="Times New Roman"/>
          <w:b w:val="false"/>
          <w:i w:val="false"/>
          <w:color w:val="000000"/>
          <w:sz w:val="28"/>
        </w:rPr>
        <w:t>
      1) ретроспективный эпидемиологический анализ заболеваемости менингококковыми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менингококковых инфекций по 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w:t>
      </w:r>
    </w:p>
    <w:p>
      <w:pPr>
        <w:spacing w:after="0"/>
        <w:ind w:left="0"/>
        <w:jc w:val="both"/>
      </w:pPr>
      <w:r>
        <w:rPr>
          <w:rFonts w:ascii="Times New Roman"/>
          <w:b w:val="false"/>
          <w:i w:val="false"/>
          <w:color w:val="000000"/>
          <w:sz w:val="28"/>
        </w:rPr>
        <w:t>
      2) оперативный эпидемиологический анализ заболеваемости менингококковыми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p>
    <w:p>
      <w:pPr>
        <w:spacing w:after="0"/>
        <w:ind w:left="0"/>
        <w:jc w:val="both"/>
      </w:pPr>
      <w:r>
        <w:rPr>
          <w:rFonts w:ascii="Times New Roman"/>
          <w:b w:val="false"/>
          <w:i w:val="false"/>
          <w:color w:val="000000"/>
          <w:sz w:val="28"/>
        </w:rPr>
        <w:t>
      319.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санитарно-эпидемиологический надзор за соблюдением санитарно-противоэпидемического режима в медицинских организациях, детских домах, домах ребенка, психоневрологических диспансерах, домах-интернатах.</w:t>
      </w:r>
    </w:p>
    <w:p>
      <w:pPr>
        <w:spacing w:after="0"/>
        <w:ind w:left="0"/>
        <w:jc w:val="both"/>
      </w:pPr>
      <w:r>
        <w:rPr>
          <w:rFonts w:ascii="Times New Roman"/>
          <w:b w:val="false"/>
          <w:i w:val="false"/>
          <w:color w:val="000000"/>
          <w:sz w:val="28"/>
        </w:rPr>
        <w:t>
      320. Выявление больных и подозрительных на заболевание менингококковыми инфекциями проводится медицинскими работниками всех организаций здравоохранения,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p>
    <w:p>
      <w:pPr>
        <w:spacing w:after="0"/>
        <w:ind w:left="0"/>
        <w:jc w:val="both"/>
      </w:pPr>
      <w:r>
        <w:rPr>
          <w:rFonts w:ascii="Times New Roman"/>
          <w:b w:val="false"/>
          <w:i w:val="false"/>
          <w:color w:val="000000"/>
          <w:sz w:val="28"/>
        </w:rPr>
        <w:t>
      321. Проводятся однократные лабораторные обследования на менингококковую инфекцию следующих категорий населения:</w:t>
      </w:r>
    </w:p>
    <w:p>
      <w:pPr>
        <w:spacing w:after="0"/>
        <w:ind w:left="0"/>
        <w:jc w:val="both"/>
      </w:pPr>
      <w:r>
        <w:rPr>
          <w:rFonts w:ascii="Times New Roman"/>
          <w:b w:val="false"/>
          <w:i w:val="false"/>
          <w:color w:val="000000"/>
          <w:sz w:val="28"/>
        </w:rPr>
        <w:t>
      1) больных с подозрением на менингококковую инфекцию при обращении в медицинские организации;</w:t>
      </w:r>
    </w:p>
    <w:p>
      <w:pPr>
        <w:spacing w:after="0"/>
        <w:ind w:left="0"/>
        <w:jc w:val="both"/>
      </w:pPr>
      <w:r>
        <w:rPr>
          <w:rFonts w:ascii="Times New Roman"/>
          <w:b w:val="false"/>
          <w:i w:val="false"/>
          <w:color w:val="000000"/>
          <w:sz w:val="28"/>
        </w:rPr>
        <w:t>
      2) пациентов психиатрических стационаров, при поступлении в стационар;</w:t>
      </w:r>
    </w:p>
    <w:p>
      <w:pPr>
        <w:spacing w:after="0"/>
        <w:ind w:left="0"/>
        <w:jc w:val="both"/>
      </w:pPr>
      <w:r>
        <w:rPr>
          <w:rFonts w:ascii="Times New Roman"/>
          <w:b w:val="false"/>
          <w:i w:val="false"/>
          <w:color w:val="000000"/>
          <w:sz w:val="28"/>
        </w:rPr>
        <w:t>
      3) детей при оформлении в школы-интернаты, детские дома и дома ребенка;</w:t>
      </w:r>
    </w:p>
    <w:p>
      <w:pPr>
        <w:spacing w:after="0"/>
        <w:ind w:left="0"/>
        <w:jc w:val="both"/>
      </w:pPr>
      <w:r>
        <w:rPr>
          <w:rFonts w:ascii="Times New Roman"/>
          <w:b w:val="false"/>
          <w:i w:val="false"/>
          <w:color w:val="000000"/>
          <w:sz w:val="28"/>
        </w:rPr>
        <w:t>
      4) лиц старше 60 лет при оформлении в дома-интернаты для престарелых и инвалидов;</w:t>
      </w:r>
    </w:p>
    <w:p>
      <w:pPr>
        <w:spacing w:after="0"/>
        <w:ind w:left="0"/>
        <w:jc w:val="both"/>
      </w:pPr>
      <w:r>
        <w:rPr>
          <w:rFonts w:ascii="Times New Roman"/>
          <w:b w:val="false"/>
          <w:i w:val="false"/>
          <w:color w:val="000000"/>
          <w:sz w:val="28"/>
        </w:rPr>
        <w:t>
      5) реконвалесцентов после перенесенной менингококковой инфекции;</w:t>
      </w:r>
    </w:p>
    <w:p>
      <w:pPr>
        <w:spacing w:after="0"/>
        <w:ind w:left="0"/>
        <w:jc w:val="both"/>
      </w:pPr>
      <w:r>
        <w:rPr>
          <w:rFonts w:ascii="Times New Roman"/>
          <w:b w:val="false"/>
          <w:i w:val="false"/>
          <w:color w:val="000000"/>
          <w:sz w:val="28"/>
        </w:rPr>
        <w:t>
      6) лиц, находившихся в контакте с больным менингококковой инфекции в инкубационный период. Лабораторное обследование контактных лиц в детских дошкольных учреждениях, детские дома и дома ребенка проводятся не менее двух раз с интервалом в 3 – 7 дней.</w:t>
      </w:r>
    </w:p>
    <w:p>
      <w:pPr>
        <w:spacing w:after="0"/>
        <w:ind w:left="0"/>
        <w:jc w:val="both"/>
      </w:pPr>
      <w:r>
        <w:rPr>
          <w:rFonts w:ascii="Times New Roman"/>
          <w:b w:val="false"/>
          <w:i w:val="false"/>
          <w:color w:val="000000"/>
          <w:sz w:val="28"/>
        </w:rPr>
        <w:t>
      322. С диагностической целью лабораторное обследование на менингококковую инфекцию лиц указанных в подпунктах 1), 5) пункта 321 настоящих Санитарных правил проводится медицинскими организациями.</w:t>
      </w:r>
    </w:p>
    <w:p>
      <w:pPr>
        <w:spacing w:after="0"/>
        <w:ind w:left="0"/>
        <w:jc w:val="both"/>
      </w:pPr>
      <w:r>
        <w:rPr>
          <w:rFonts w:ascii="Times New Roman"/>
          <w:b w:val="false"/>
          <w:i w:val="false"/>
          <w:color w:val="000000"/>
          <w:sz w:val="28"/>
        </w:rPr>
        <w:t>
      323. С профилактической целью лабораторное обследование на менингококковую инфекцию лиц указанных в подпунктах 2), 3), 4), 6) пункта 321 настоящих Санитарных правил проводится организациями, осуществляющими деятельность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324. При осложнении эпидемиологической ситуации и превышении уровня заболеваемости среднереспубликанского показателя заболеваемости на 100 тысяч населения проводится лабораторное обследование определенных групп населения. Объем и структура обследования определяется должностными лицами органов (организаций) санитарно-эпидемиологической службы по постановлениям или предписаниям.</w:t>
      </w:r>
    </w:p>
    <w:p>
      <w:pPr>
        <w:spacing w:after="0"/>
        <w:ind w:left="0"/>
        <w:jc w:val="both"/>
      </w:pPr>
      <w:r>
        <w:rPr>
          <w:rFonts w:ascii="Times New Roman"/>
          <w:b w:val="false"/>
          <w:i w:val="false"/>
          <w:color w:val="000000"/>
          <w:sz w:val="28"/>
        </w:rPr>
        <w:t>
      25. Санитарно-эпидемиологические требования к организации и</w:t>
      </w:r>
    </w:p>
    <w:p>
      <w:pPr>
        <w:spacing w:after="0"/>
        <w:ind w:left="0"/>
        <w:jc w:val="both"/>
      </w:pPr>
      <w:r>
        <w:rPr>
          <w:rFonts w:ascii="Times New Roman"/>
          <w:b w:val="false"/>
          <w:i w:val="false"/>
          <w:color w:val="000000"/>
          <w:sz w:val="28"/>
        </w:rPr>
        <w:t>
      проведению эпидемиологического обследования и противоэпидемических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325. Эпидемиологическое обследование проводится при регистрации каждого случая заболевания.</w:t>
      </w:r>
    </w:p>
    <w:p>
      <w:pPr>
        <w:spacing w:after="0"/>
        <w:ind w:left="0"/>
        <w:jc w:val="both"/>
      </w:pPr>
      <w:r>
        <w:rPr>
          <w:rFonts w:ascii="Times New Roman"/>
          <w:b w:val="false"/>
          <w:i w:val="false"/>
          <w:color w:val="000000"/>
          <w:sz w:val="28"/>
        </w:rPr>
        <w:t>
      326. В детских дошкольных учреждениях, в том числе в учреждениях закрытого типа, школах, школах интернатах, где зарегистрирован случай менингококковой инфекции, устанавливается карантин на 10 календарных дней с момента изоляции последнего больного. В течение этого срока запрещается прием новых и временно отсутствующих детей, а также переводы детей и персонала из одной группы в другую.</w:t>
      </w:r>
    </w:p>
    <w:p>
      <w:pPr>
        <w:spacing w:after="0"/>
        <w:ind w:left="0"/>
        <w:jc w:val="both"/>
      </w:pPr>
      <w:r>
        <w:rPr>
          <w:rFonts w:ascii="Times New Roman"/>
          <w:b w:val="false"/>
          <w:i w:val="false"/>
          <w:color w:val="000000"/>
          <w:sz w:val="28"/>
        </w:rPr>
        <w:t>
      327. Все лица, находившихся в контакте с больным подвергаются медицинскому наблюдению с ежедневным клиническим осмотром и термометрией в течении 10 календарных дней с момента изоляции последнего больного. К проведению осмотра привлекаются оториноларингологи. Лицам, общавшимся с больными и имеющими катаральные явления в носоглотке, проводят профилактическое лечение.</w:t>
      </w:r>
    </w:p>
    <w:p>
      <w:pPr>
        <w:spacing w:after="0"/>
        <w:ind w:left="0"/>
        <w:jc w:val="both"/>
      </w:pPr>
      <w:r>
        <w:rPr>
          <w:rFonts w:ascii="Times New Roman"/>
          <w:b w:val="false"/>
          <w:i w:val="false"/>
          <w:color w:val="000000"/>
          <w:sz w:val="28"/>
        </w:rPr>
        <w:t>
      328. Лица, у которых выявлены положительные результаты лабораторного обследования рассматриваются как носители. Проводится их лечение, постановка на учет, устанавливается за ними медицинское наблюдение. Носители, представляющие эпидемическую опасность для окружающих отстраняются от работы территориальными подразделениями ведомства государственного органа в сфере санитарно-эпидемиологического благополучия населения и допускаются в коллективы при однократном отрицательном результате, материал для исследования берется из носоглотки через 3 календарных дня после окончания лечения.</w:t>
      </w:r>
    </w:p>
    <w:p>
      <w:pPr>
        <w:spacing w:after="0"/>
        <w:ind w:left="0"/>
        <w:jc w:val="both"/>
      </w:pPr>
      <w:r>
        <w:rPr>
          <w:rFonts w:ascii="Times New Roman"/>
          <w:b w:val="false"/>
          <w:i w:val="false"/>
          <w:color w:val="000000"/>
          <w:sz w:val="28"/>
        </w:rPr>
        <w:t>
      329. При превышении уровня заболеваемости среднереспубликанского показателя заболеваемости на 100 тысяч населения проводится вакцинации по эпидемиологическим показаниям лиц с высоким риском заболеваемости на основании постановления Главного государственного санитарного врача Республики Казахстан.</w:t>
      </w:r>
    </w:p>
    <w:p>
      <w:pPr>
        <w:spacing w:after="0"/>
        <w:ind w:left="0"/>
        <w:jc w:val="both"/>
      </w:pPr>
      <w:r>
        <w:rPr>
          <w:rFonts w:ascii="Times New Roman"/>
          <w:b w:val="false"/>
          <w:i w:val="false"/>
          <w:color w:val="000000"/>
          <w:sz w:val="28"/>
        </w:rPr>
        <w:t>
      330. Заключительная дезинфекция в очагах и обработка транспорта по перевозке больных не проводится.</w:t>
      </w:r>
    </w:p>
    <w:p>
      <w:pPr>
        <w:spacing w:after="0"/>
        <w:ind w:left="0"/>
        <w:jc w:val="both"/>
      </w:pPr>
      <w:r>
        <w:rPr>
          <w:rFonts w:ascii="Times New Roman"/>
          <w:b w:val="false"/>
          <w:i w:val="false"/>
          <w:color w:val="000000"/>
          <w:sz w:val="28"/>
        </w:rPr>
        <w:t>
      331. В помещениях организуется частое проветривание, влажная уборка, максимальное разуплотнение лиц, находившихся в контакте с больным в спальных, учебных помещениях, игровых комнатах.</w:t>
      </w:r>
    </w:p>
    <w:p>
      <w:pPr>
        <w:spacing w:after="0"/>
        <w:ind w:left="0"/>
        <w:jc w:val="both"/>
      </w:pPr>
      <w:r>
        <w:rPr>
          <w:rFonts w:ascii="Times New Roman"/>
          <w:b w:val="false"/>
          <w:i w:val="false"/>
          <w:color w:val="000000"/>
          <w:sz w:val="28"/>
        </w:rPr>
        <w:t>
      332. В период сезонного подъема заболеваемости запрещается проведение мероприятий с большим скоплением людей.</w:t>
      </w:r>
    </w:p>
    <w:p>
      <w:pPr>
        <w:spacing w:after="0"/>
        <w:ind w:left="0"/>
        <w:jc w:val="both"/>
      </w:pPr>
      <w:r>
        <w:rPr>
          <w:rFonts w:ascii="Times New Roman"/>
          <w:b w:val="false"/>
          <w:i w:val="false"/>
          <w:color w:val="000000"/>
          <w:sz w:val="28"/>
        </w:rPr>
        <w:t>
      333. Среди населения постоянно проводится широкая разъяснительная работа о необходимости раннего обращения к врачу.</w:t>
      </w:r>
    </w:p>
    <w:p>
      <w:pPr>
        <w:spacing w:after="0"/>
        <w:ind w:left="0"/>
        <w:jc w:val="both"/>
      </w:pPr>
      <w:r>
        <w:rPr>
          <w:rFonts w:ascii="Times New Roman"/>
          <w:b w:val="false"/>
          <w:i w:val="false"/>
          <w:color w:val="000000"/>
          <w:sz w:val="28"/>
        </w:rPr>
        <w:t>
      26. Санитарно-эпидемиологические требования к госпитализации больных</w:t>
      </w:r>
    </w:p>
    <w:p>
      <w:pPr>
        <w:spacing w:after="0"/>
        <w:ind w:left="0"/>
        <w:jc w:val="both"/>
      </w:pPr>
      <w:r>
        <w:rPr>
          <w:rFonts w:ascii="Times New Roman"/>
          <w:b w:val="false"/>
          <w:i w:val="false"/>
          <w:color w:val="000000"/>
          <w:sz w:val="28"/>
        </w:rPr>
        <w:t>
      менингококковой инфекцией</w:t>
      </w:r>
    </w:p>
    <w:p>
      <w:pPr>
        <w:spacing w:after="0"/>
        <w:ind w:left="0"/>
        <w:jc w:val="both"/>
      </w:pPr>
      <w:r>
        <w:rPr>
          <w:rFonts w:ascii="Times New Roman"/>
          <w:b w:val="false"/>
          <w:i w:val="false"/>
          <w:color w:val="000000"/>
          <w:sz w:val="28"/>
        </w:rPr>
        <w:t>
      334. Обязательной и немедленной госпитализации подлежат больные с генерализованными формами.</w:t>
      </w:r>
    </w:p>
    <w:p>
      <w:pPr>
        <w:spacing w:after="0"/>
        <w:ind w:left="0"/>
        <w:jc w:val="both"/>
      </w:pPr>
      <w:r>
        <w:rPr>
          <w:rFonts w:ascii="Times New Roman"/>
          <w:b w:val="false"/>
          <w:i w:val="false"/>
          <w:color w:val="000000"/>
          <w:sz w:val="28"/>
        </w:rPr>
        <w:t>
      335. Госпитализация больных менингококковой инфекцией проводится по клиническим и эпидемиологическим показаниям.</w:t>
      </w:r>
    </w:p>
    <w:p>
      <w:pPr>
        <w:spacing w:after="0"/>
        <w:ind w:left="0"/>
        <w:jc w:val="both"/>
      </w:pPr>
      <w:r>
        <w:rPr>
          <w:rFonts w:ascii="Times New Roman"/>
          <w:b w:val="false"/>
          <w:i w:val="false"/>
          <w:color w:val="000000"/>
          <w:sz w:val="28"/>
        </w:rPr>
        <w:t>
      336. Клинические показания для госпитализации больных менингококковой инфекцией:</w:t>
      </w:r>
    </w:p>
    <w:p>
      <w:pPr>
        <w:spacing w:after="0"/>
        <w:ind w:left="0"/>
        <w:jc w:val="both"/>
      </w:pPr>
      <w:r>
        <w:rPr>
          <w:rFonts w:ascii="Times New Roman"/>
          <w:b w:val="false"/>
          <w:i w:val="false"/>
          <w:color w:val="000000"/>
          <w:sz w:val="28"/>
        </w:rPr>
        <w:t>
      1) генерализованная форма;</w:t>
      </w:r>
    </w:p>
    <w:p>
      <w:pPr>
        <w:spacing w:after="0"/>
        <w:ind w:left="0"/>
        <w:jc w:val="both"/>
      </w:pPr>
      <w:r>
        <w:rPr>
          <w:rFonts w:ascii="Times New Roman"/>
          <w:b w:val="false"/>
          <w:i w:val="false"/>
          <w:color w:val="000000"/>
          <w:sz w:val="28"/>
        </w:rPr>
        <w:t>
      2) нарастание симптомов интоксикации и назофарингита.</w:t>
      </w:r>
    </w:p>
    <w:p>
      <w:pPr>
        <w:spacing w:after="0"/>
        <w:ind w:left="0"/>
        <w:jc w:val="both"/>
      </w:pPr>
      <w:r>
        <w:rPr>
          <w:rFonts w:ascii="Times New Roman"/>
          <w:b w:val="false"/>
          <w:i w:val="false"/>
          <w:color w:val="000000"/>
          <w:sz w:val="28"/>
        </w:rPr>
        <w:t>
      337. Эпидемиологические показания для госпитализации больных менингококковой инфекцией:</w:t>
      </w:r>
    </w:p>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детских домах, домах ребенка, санаториях, домах-интернатах для престарелых и инвалидов, летних оздоровительных организациях, домах отдыха.</w:t>
      </w:r>
    </w:p>
    <w:p>
      <w:pPr>
        <w:spacing w:after="0"/>
        <w:ind w:left="0"/>
        <w:jc w:val="both"/>
      </w:pPr>
      <w:r>
        <w:rPr>
          <w:rFonts w:ascii="Times New Roman"/>
          <w:b w:val="false"/>
          <w:i w:val="false"/>
          <w:color w:val="000000"/>
          <w:sz w:val="28"/>
        </w:rPr>
        <w:t>
      338. Выписка реконвалесцентов после менингококковой инфекции проводится:</w:t>
      </w:r>
    </w:p>
    <w:p>
      <w:pPr>
        <w:spacing w:after="0"/>
        <w:ind w:left="0"/>
        <w:jc w:val="both"/>
      </w:pPr>
      <w:r>
        <w:rPr>
          <w:rFonts w:ascii="Times New Roman"/>
          <w:b w:val="false"/>
          <w:i w:val="false"/>
          <w:color w:val="000000"/>
          <w:sz w:val="28"/>
        </w:rPr>
        <w:t>
      1) при локализованной форме – после клинического выздоровления и однократного отрицательного бактериологического исследования слизи из носоглотки через 3 календарных дня после окончания антибактериальной терапии;</w:t>
      </w:r>
    </w:p>
    <w:p>
      <w:pPr>
        <w:spacing w:after="0"/>
        <w:ind w:left="0"/>
        <w:jc w:val="both"/>
      </w:pPr>
      <w:r>
        <w:rPr>
          <w:rFonts w:ascii="Times New Roman"/>
          <w:b w:val="false"/>
          <w:i w:val="false"/>
          <w:color w:val="000000"/>
          <w:sz w:val="28"/>
        </w:rPr>
        <w:t>
      2) при генерализованной форме – после клинического выздоровления и двукратного отрицательного бактериологического исследования слизи из носоглотки через 3 календарных дня после окончания антибактериальной терапии с интервалом в 2 календарных дня.</w:t>
      </w:r>
    </w:p>
    <w:p>
      <w:pPr>
        <w:spacing w:after="0"/>
        <w:ind w:left="0"/>
        <w:jc w:val="both"/>
      </w:pPr>
      <w:r>
        <w:rPr>
          <w:rFonts w:ascii="Times New Roman"/>
          <w:b w:val="false"/>
          <w:i w:val="false"/>
          <w:color w:val="000000"/>
          <w:sz w:val="28"/>
        </w:rPr>
        <w:t>
      27. Санитарно-эпидемиологические требования к диспансерному</w:t>
      </w:r>
    </w:p>
    <w:p>
      <w:pPr>
        <w:spacing w:after="0"/>
        <w:ind w:left="0"/>
        <w:jc w:val="both"/>
      </w:pPr>
      <w:r>
        <w:rPr>
          <w:rFonts w:ascii="Times New Roman"/>
          <w:b w:val="false"/>
          <w:i w:val="false"/>
          <w:color w:val="000000"/>
          <w:sz w:val="28"/>
        </w:rPr>
        <w:t>
      наблюдению за лицами, переболевшими менингококковой инфекцией</w:t>
      </w:r>
    </w:p>
    <w:p>
      <w:pPr>
        <w:spacing w:after="0"/>
        <w:ind w:left="0"/>
        <w:jc w:val="both"/>
      </w:pPr>
      <w:r>
        <w:rPr>
          <w:rFonts w:ascii="Times New Roman"/>
          <w:b w:val="false"/>
          <w:i w:val="false"/>
          <w:color w:val="000000"/>
          <w:sz w:val="28"/>
        </w:rPr>
        <w:t>
      339. В школы, дошкольные учреждения, санатории, учебные заведения лица перенесшие менингококковую инфекцию, допускаются после однократного отрицательного бактериологического исследования, проведенного через 5 календарных дней после выписки из стационара или выздоровления больного назофарингитом на дому.</w:t>
      </w:r>
    </w:p>
    <w:p>
      <w:pPr>
        <w:spacing w:after="0"/>
        <w:ind w:left="0"/>
        <w:jc w:val="both"/>
      </w:pPr>
      <w:r>
        <w:rPr>
          <w:rFonts w:ascii="Times New Roman"/>
          <w:b w:val="false"/>
          <w:i w:val="false"/>
          <w:color w:val="000000"/>
          <w:sz w:val="28"/>
        </w:rPr>
        <w:t>
      340. Реконвалесценты менингита и менингоэнцефалита наблюдаются невропатологом в течение двух лет (в течение первого года 1 раз в 3 месяца, в последующем году 1 раз в 6 месяцев).</w:t>
      </w:r>
    </w:p>
    <w:p>
      <w:pPr>
        <w:spacing w:after="0"/>
        <w:ind w:left="0"/>
        <w:jc w:val="both"/>
      </w:pPr>
      <w:r>
        <w:rPr>
          <w:rFonts w:ascii="Times New Roman"/>
          <w:b w:val="false"/>
          <w:i w:val="false"/>
          <w:color w:val="000000"/>
          <w:sz w:val="28"/>
        </w:rPr>
        <w:t>
      28. Санитарно-эпидемиологические требования к лабораторной диагностике менингококковой инфекции</w:t>
      </w:r>
    </w:p>
    <w:p>
      <w:pPr>
        <w:spacing w:after="0"/>
        <w:ind w:left="0"/>
        <w:jc w:val="both"/>
      </w:pPr>
      <w:r>
        <w:rPr>
          <w:rFonts w:ascii="Times New Roman"/>
          <w:b w:val="false"/>
          <w:i w:val="false"/>
          <w:color w:val="000000"/>
          <w:sz w:val="28"/>
        </w:rPr>
        <w:t>
      341.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(слизь из носоглотки), бактериоскопическим методом путем окрашиванием по Граму, серологическим путем выявления специфических антигенов в жидкостях организма (ликвор, кровь, синусоидальная жидкость) или антител в сыворотке крови, методом полимеразной цепной реакции (далее – ПЦР), позволяющий добиться значительного увеличения малых концентраций определенных фрагментов нуклеиновой кислоты в биологическом материале (пробе). ПЦР является наиболее чувствительным и специфичным из существующих экспресс-методов детекции возбудителей в биологическом материале: достаточно нескольких молекул дезоксирибонуклеиновой кислоты (далее – ДНК) в образце, чтобы обнаружить большинство известных микроорганизмов, в том числе некультивируемых. Такие факторы, как хранение спинномозговой жидкости (далее – СМЖ) при комнатной температуре, замораживание-оттаивание (до 3 раз) не влияет на чувствительность метода. Для молекулярно-биологических методов характерна высокая воспроизводимость, быстрота получения результата (в течение нескольких часов, позволяет проводить идентификацию без выделения чистых культур).</w:t>
      </w:r>
    </w:p>
    <w:p>
      <w:pPr>
        <w:spacing w:after="0"/>
        <w:ind w:left="0"/>
        <w:jc w:val="both"/>
      </w:pPr>
      <w:r>
        <w:rPr>
          <w:rFonts w:ascii="Times New Roman"/>
          <w:b w:val="false"/>
          <w:i w:val="false"/>
          <w:color w:val="000000"/>
          <w:sz w:val="28"/>
        </w:rPr>
        <w:t>
      342. По классификационной систематике менингококки принадлежат к семейству Neisseriaceae роду Neisseria (далее – N), род N включает два вида патогенных микроорганизмов: N. meningitidis и N. gonorrhoeae, остальные представители этого рода являются резидентной флорой слизистых оболочек. К последним относятся пигментообразующие, объединенные в один вид N. subflava, а также N. sicca, N. mucosa, N. flavescens, N. lactamica. Катаральный диплококк выделен в род Branhamella (далее – В), включающий: B. catarrhalis, B. caviae. B. ovis и B. cuniculi и другие.</w:t>
      </w:r>
    </w:p>
    <w:p>
      <w:pPr>
        <w:spacing w:after="0"/>
        <w:ind w:left="0"/>
        <w:jc w:val="both"/>
      </w:pPr>
      <w:r>
        <w:rPr>
          <w:rFonts w:ascii="Times New Roman"/>
          <w:b w:val="false"/>
          <w:i w:val="false"/>
          <w:color w:val="000000"/>
          <w:sz w:val="28"/>
        </w:rPr>
        <w:t>
      343. Менингококки требовательны к условиям культивирования. При росте требуют повышенной влажности и 5-10 процентов (далее – %) содержания диоксид углерода (далее – СО</w:t>
      </w:r>
      <w:r>
        <w:rPr>
          <w:rFonts w:ascii="Times New Roman"/>
          <w:b w:val="false"/>
          <w:i w:val="false"/>
          <w:color w:val="000000"/>
          <w:vertAlign w:val="subscript"/>
        </w:rPr>
        <w:t>2</w:t>
      </w:r>
      <w:r>
        <w:rPr>
          <w:rFonts w:ascii="Times New Roman"/>
          <w:b w:val="false"/>
          <w:i w:val="false"/>
          <w:color w:val="000000"/>
          <w:sz w:val="28"/>
        </w:rPr>
        <w:t>) в воздухе, чувствительны к малейшим отклонениям температуры. В качестве источника нативного белка рекомендуется применять сыворотку крупного рогатого скота, лошадиную или кровь любого другого животного, сухой питательный агар специального назначения.</w:t>
      </w:r>
    </w:p>
    <w:p>
      <w:pPr>
        <w:spacing w:after="0"/>
        <w:ind w:left="0"/>
        <w:jc w:val="both"/>
      </w:pPr>
      <w:r>
        <w:rPr>
          <w:rFonts w:ascii="Times New Roman"/>
          <w:b w:val="false"/>
          <w:i w:val="false"/>
          <w:color w:val="000000"/>
          <w:sz w:val="28"/>
        </w:rPr>
        <w:t>
      344. Идентификация вида N. meningitidis основана на комплексе морфологических, тинкториальных, культуральных и биохимических признаков указанных в приложении 5 настоящих Санитарных правил.</w:t>
      </w:r>
    </w:p>
    <w:p>
      <w:pPr>
        <w:spacing w:after="0"/>
        <w:ind w:left="0"/>
        <w:jc w:val="both"/>
      </w:pPr>
      <w:r>
        <w:rPr>
          <w:rFonts w:ascii="Times New Roman"/>
          <w:b w:val="false"/>
          <w:i w:val="false"/>
          <w:color w:val="000000"/>
          <w:sz w:val="28"/>
        </w:rPr>
        <w:t>
      345. Менингококки делятся на следующие 13 серогрупп: A, B, C, X, Y, Z, 29E, D, W135, K, H, L, I. Проведение серологического группирования менингококков является обязательным для практических лабораторий, как одна из мер эпидемиологического надзора за менингококковой инфекцией.";</w:t>
      </w:r>
    </w:p>
    <w:bookmarkStart w:name="z10" w:id="8"/>
    <w:p>
      <w:pPr>
        <w:spacing w:after="0"/>
        <w:ind w:left="0"/>
        <w:jc w:val="both"/>
      </w:pPr>
      <w:r>
        <w:rPr>
          <w:rFonts w:ascii="Times New Roman"/>
          <w:b w:val="false"/>
          <w:i w:val="false"/>
          <w:color w:val="000000"/>
          <w:sz w:val="28"/>
        </w:rPr>
        <w:t xml:space="preserve">
      дополнить приложениями 1-1, 5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12"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13"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3 декабря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732</w:t>
            </w:r>
            <w:r>
              <w:br/>
            </w: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 заболеваний"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 о выполнении плана постановки пробы Манту</w:t>
      </w:r>
      <w:r>
        <w:br/>
      </w:r>
      <w:r>
        <w:rPr>
          <w:rFonts w:ascii="Times New Roman"/>
          <w:b/>
          <w:i w:val="false"/>
          <w:color w:val="000000"/>
        </w:rPr>
        <w:t>за _________ 20 ___ года по___________________________________</w:t>
      </w:r>
    </w:p>
    <w:p>
      <w:pPr>
        <w:spacing w:after="0"/>
        <w:ind w:left="0"/>
        <w:jc w:val="both"/>
      </w:pPr>
      <w:r>
        <w:rPr>
          <w:rFonts w:ascii="Times New Roman"/>
          <w:b w:val="false"/>
          <w:i w:val="false"/>
          <w:color w:val="000000"/>
          <w:sz w:val="28"/>
        </w:rPr>
        <w:t>
            (месяц)                 (наименование медицинской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0"/>
        <w:gridCol w:w="274"/>
        <w:gridCol w:w="791"/>
        <w:gridCol w:w="619"/>
        <w:gridCol w:w="1762"/>
        <w:gridCol w:w="964"/>
        <w:gridCol w:w="620"/>
      </w:tblGrid>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Контингент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w:t>
            </w:r>
            <w:r>
              <w:rPr>
                <w:rFonts w:ascii="Times New Roman"/>
                <w:b/>
                <w:i w:val="false"/>
                <w:color w:val="000000"/>
                <w:sz w:val="20"/>
              </w:rPr>
              <w:t xml:space="preserve"> плана за отчетный месяц</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w:t>
            </w:r>
            <w:r>
              <w:rPr>
                <w:rFonts w:ascii="Times New Roman"/>
                <w:b/>
                <w:i w:val="false"/>
                <w:color w:val="000000"/>
                <w:sz w:val="20"/>
              </w:rPr>
              <w:t xml:space="preserve"> плана с нарастанием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w:t>
            </w:r>
            <w:r>
              <w:rPr>
                <w:rFonts w:ascii="Times New Roman"/>
                <w:b/>
                <w:i w:val="false"/>
                <w:color w:val="000000"/>
                <w:sz w:val="20"/>
              </w:rPr>
              <w:t xml:space="preserve"> вес охвата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выявлено</w:t>
            </w:r>
            <w:r>
              <w:rPr>
                <w:rFonts w:ascii="Times New Roman"/>
                <w:b/>
                <w:i w:val="false"/>
                <w:color w:val="000000"/>
                <w:sz w:val="20"/>
              </w:rPr>
              <w:t xml:space="preserve"> с виражом и </w:t>
            </w:r>
            <w:r>
              <w:rPr>
                <w:rFonts w:ascii="Times New Roman"/>
                <w:b/>
                <w:i w:val="false"/>
                <w:color w:val="000000"/>
                <w:sz w:val="20"/>
              </w:rPr>
              <w:t>гиперергической</w:t>
            </w:r>
            <w:r>
              <w:rPr>
                <w:rFonts w:ascii="Times New Roman"/>
                <w:b/>
                <w:i w:val="false"/>
                <w:color w:val="000000"/>
                <w:sz w:val="20"/>
              </w:rPr>
              <w:t xml:space="preserve"> реакцией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r>
              <w:rPr>
                <w:rFonts w:ascii="Times New Roman"/>
                <w:b/>
                <w:i w:val="false"/>
                <w:color w:val="000000"/>
                <w:sz w:val="20"/>
              </w:rPr>
              <w:t xml:space="preserve"> них охвачено </w:t>
            </w:r>
            <w:r>
              <w:rPr>
                <w:rFonts w:ascii="Times New Roman"/>
                <w:b/>
                <w:i w:val="false"/>
                <w:color w:val="000000"/>
                <w:sz w:val="20"/>
              </w:rPr>
              <w:t>химиопрофилактикой</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Обследование по пробе Манту всего,</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том числе: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и подростков из очагов туберкулеза (данные ПТО)</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старше двух месяцев перед вакцинацией БЦЖ</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1-х классов (в возрасте  6-7 лет) перед ревакцинацией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детям</w:t>
            </w:r>
            <w:r>
              <w:rPr>
                <w:rFonts w:ascii="Times New Roman"/>
                <w:b/>
                <w:i w:val="false"/>
                <w:color w:val="000000"/>
                <w:sz w:val="20"/>
              </w:rPr>
              <w:t xml:space="preserve"> группы "риска" всего, в том числе: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социально неблагополучных семей (малообеспеченные и многодетные, родители - неработающие, из мест лишения свободы, страдающие алкоголизмом, наркоманией, ВИЧ-инфицированные, не имеющие постоянного места жительства, мигранты);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находящиеся на амбулаторном и стационарном лечении с длительным кашлем (более 2-х недель) и с симптомами нарастающей интоксикации, (субфебрилитет, потливость, снижение аппетита и массы тела, раздражительность, вялость)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состоящие на диспансерном учете у педиатра по поводу различных заболеваний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закрытых учебных заведений (школы-интернаты, специализированные школы для детей инвалидов)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невакцинированные и с неразвившимися поствакцинальными рубчиками БЦЖ</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получающие гормональную терапию</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получающие иммунносупрессивную терапию (глюкокортикоиды, иммунодепрессанты, цитостатики, генно-инженерные биологические препараты)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неизвестным прививочным статусом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732</w:t>
            </w:r>
            <w:r>
              <w:br/>
            </w: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 заболеваний"</w:t>
            </w:r>
          </w:p>
        </w:tc>
      </w:tr>
    </w:tbl>
    <w:p>
      <w:pPr>
        <w:spacing w:after="0"/>
        <w:ind w:left="0"/>
        <w:jc w:val="left"/>
      </w:pPr>
      <w:r>
        <w:rPr>
          <w:rFonts w:ascii="Times New Roman"/>
          <w:b/>
          <w:i w:val="false"/>
          <w:color w:val="000000"/>
        </w:rPr>
        <w:t xml:space="preserve"> Культуральные и биохимические свойства</w:t>
      </w:r>
      <w:r>
        <w:br/>
      </w:r>
      <w:r>
        <w:rPr>
          <w:rFonts w:ascii="Times New Roman"/>
          <w:b/>
          <w:i w:val="false"/>
          <w:color w:val="000000"/>
        </w:rPr>
        <w:t>Neisseria и Вг. Catarrhalis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184"/>
        <w:gridCol w:w="1184"/>
        <w:gridCol w:w="804"/>
        <w:gridCol w:w="804"/>
        <w:gridCol w:w="1021"/>
        <w:gridCol w:w="338"/>
        <w:gridCol w:w="338"/>
        <w:gridCol w:w="338"/>
        <w:gridCol w:w="338"/>
        <w:gridCol w:w="1494"/>
        <w:gridCol w:w="445"/>
        <w:gridCol w:w="908"/>
      </w:tblGrid>
      <w:tr>
        <w:trPr>
          <w:trHeight w:val="30"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условиям культивирования, рост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роста от СО</w:t>
            </w:r>
            <w:r>
              <w:rPr>
                <w:rFonts w:ascii="Times New Roman"/>
                <w:b w:val="false"/>
                <w:i w:val="false"/>
                <w:color w:val="000000"/>
                <w:vertAlign w:val="subscript"/>
              </w:rPr>
              <w:t>2</w:t>
            </w:r>
            <w:r>
              <w:rPr>
                <w:rFonts w:ascii="Times New Roman"/>
                <w:b w:val="false"/>
                <w:i w:val="false"/>
                <w:color w:val="000000"/>
                <w:sz w:val="20"/>
              </w:rPr>
              <w:t xml:space="preserve"> при первичном выделении</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пигмента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сахаролитическая активность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полисахарида на агаре с 5% сахарозы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сывороточном агаре 37 </w:t>
            </w:r>
            <w:r>
              <w:rPr>
                <w:rFonts w:ascii="Times New Roman"/>
                <w:b w:val="false"/>
                <w:i w:val="false"/>
                <w:color w:val="000000"/>
                <w:vertAlign w:val="superscript"/>
              </w:rPr>
              <w:t>0</w:t>
            </w:r>
            <w:r>
              <w:rPr>
                <w:rFonts w:ascii="Times New Roman"/>
                <w:b w:val="false"/>
                <w:i w:val="false"/>
                <w:color w:val="000000"/>
                <w:sz w:val="20"/>
              </w:rPr>
              <w:t>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бессывороточном агаре 37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среде с 0,2 % желчи</w:t>
            </w:r>
          </w:p>
        </w:tc>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нитритов</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Gonorrheae</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Meningitidis</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Subflava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Perflava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Sicca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Mucosa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Flavescens</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Lactamica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 Сatarrhalis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Обозначения:</w:t>
      </w:r>
    </w:p>
    <w:p>
      <w:pPr>
        <w:spacing w:after="0"/>
        <w:ind w:left="0"/>
        <w:jc w:val="both"/>
      </w:pPr>
      <w:r>
        <w:rPr>
          <w:rFonts w:ascii="Times New Roman"/>
          <w:b w:val="false"/>
          <w:i w:val="false"/>
          <w:color w:val="000000"/>
          <w:sz w:val="28"/>
        </w:rPr>
        <w:t>
      К - образование кислоты</w:t>
      </w:r>
    </w:p>
    <w:p>
      <w:pPr>
        <w:spacing w:after="0"/>
        <w:ind w:left="0"/>
        <w:jc w:val="both"/>
      </w:pPr>
      <w:r>
        <w:rPr>
          <w:rFonts w:ascii="Times New Roman"/>
          <w:b w:val="false"/>
          <w:i w:val="false"/>
          <w:color w:val="000000"/>
          <w:sz w:val="28"/>
        </w:rPr>
        <w:t>
      (-) - редко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