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c5fb" w14:textId="7f9c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Национального перечня элементов нематериального 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ноября 2015 года № 368. Зарегистрирован в Министерстве юстиции Республики Казахстан 29 декабря 2015 года № 12594.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Национального перечня элементов нематериального культурного наследия.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 в течение десяти рабочих дней со дня исполнения мероприятий.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c 1 января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368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Национального перечня элементов</w:t>
      </w:r>
      <w:r>
        <w:br/>
      </w:r>
      <w:r>
        <w:rPr>
          <w:rFonts w:ascii="Times New Roman"/>
          <w:b/>
          <w:i w:val="false"/>
          <w:color w:val="000000"/>
        </w:rPr>
        <w:t>нематериального культурного наследия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Правила ведения Национального перечня элементов нематериального культурного наследия (далее – Правила) определяет порядок ведения Национального перечня элементов нематериального культурного наследия (далее – Национальный перечень).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нематериальное культурное наследие (далее – НКН) – обычаи, формы представления и выражения, знания и навыки, а также связанные с ними инструменты, предметы, передаваемые из поколения в поколение и являющиеся нематериальной культурной ценностью;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перечень культурных ценностей нематериального культурного наследия народа Казахстана;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носители нематериального культурного наследия – местные и этнические сообщества, группы и, в некоторых случаях, отдельные лица, играющие важную роль в создании, сохранении и воссоздании нематериального культурного наследия народа Казахстана, обогащающие культурное разнообразие и способствующие развитию творческих способностей человека.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нематериальным культурным ценностям относятся следующие элементы (далее – элементы НКЦ):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устные традиции и формы выражения, включая язык в качестве носителя нематериального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исполнительские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обычаи;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знания и обычаи, относящиеся к природе и вселенной;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знания и навыки, связанные с традиционными ремеслами.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Национального перечня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перечень ведется с целью обеспечения жизнеспособности нематериального культурного наследия, его идентификации, документирования, исследования, сохранения, защите и популяризации.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Национальный перечень ведется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культуры (далее – уполномоченный орган) на казахском и русском языках, на бумажном и электронном носителях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перечень размещается на официальном интернет-ресурсе уполномоченного органа.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занимающиеся изучением культурных ценностей, при выявлении элемента направляют письмо с необходимыми сведениями о нем (далее – письмо) в уполномоченный орган.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элементах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элемента;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элемента, указанный в пункте 3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элемента (принадлежность к какому-либо этносу, а также жанр, история происхождения, носители НКН и другие описывающие сведения);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распространения элемента (область, город, район, село);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фотографии, при необходимости показа или прослушивания элемента – видео или аудиоматериалы;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степень сохранности элемента;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источники об элементе (научные материалы, сайты и другие источники).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рассматривает поступившее письмо в течение тридцати календарных дней со дня его поступления.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уполномоченном органе создается постоянно действующая экспертная комиссия (далее – Комиссия), которая определяет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имеет ли элемент государственное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передается ли элемент из поколения в поколение;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практикуется ли элемент этносами, группами или отдельным лицом на территории Казахстана, которые признают его частью своего культурного наследия.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Комиссии состоит из председателя, секретаря и членов комиссии, формируемых из представителей уполномоченного органа, ученых и экспертов в области истории, культуры, искусства.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 осуществляет руководство за деятельностью Комиссии, проводит заседания и подписывает протоколы заседаний Комиссии.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Организацию заседания, подготовку соответствующих документов и материалов, в том числе протокола, осуществляет секретарь Комиссии. Секретарь не является членом Комиссии.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по мере поступления писем.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принимается открытым голосованием и считаются принятыми, если за него подано большинство голосов от общего количества присутствующих членов Комиссии. В случае равенства голосов принятым считается решение, за которое проголосовал председатель Комиссии.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оформляется протоколом, который носит рекомендательный характер.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решения Комиссии о включении элемента в Национальный перечень уполномоченный орган в течение десяти рабочих дней вносит элементы НКЦ в Национальный перечень и обновляет его на официальном сайте уполномоченного органа.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Каждому элементу НКЦ вносимому в Национальный перечень, присваивается регистрационный номер.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нематериального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Форма  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Национальный перечень</w:t>
      </w:r>
      <w:r>
        <w:br/>
      </w:r>
      <w:r>
        <w:rPr>
          <w:rFonts w:ascii="Times New Roman"/>
          <w:b/>
          <w:i w:val="false"/>
          <w:color w:val="000000"/>
        </w:rPr>
        <w:t>элементов нематериального культурного наследия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элемента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элемента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(принадлежность к какому-либо этносу, а также жанр, история происхождения, носители НКН* и другие описывающие 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распространения элемента (область, район, город, село)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фотографии, видео или аудиоматериалы (штук)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сохранности элемента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об элементе (научные материалы**, сайты и другие источники)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*НКН – нематериальное культурное наследие.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Указывается автор, название, издательство, год издания, страница.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