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c298" w14:textId="dcec2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Астаны от 22 сентября 2010 года № 387/51-IV "О Правилах предоставления жилищной помощи в городе Астане"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17 июля 2015 года № 400/55-V. Зарегистрировано Департаментом юстиции города Астаны от 21 августа 2015 года № 935. Утратило силу решением маслихата города Астаны от 6 марта 2019 года № 363/45-VI.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Астаны от 06.03.2019 </w:t>
      </w:r>
      <w:r>
        <w:rPr>
          <w:rFonts w:ascii="Times New Roman"/>
          <w:b w:val="false"/>
          <w:i w:val="false"/>
          <w:color w:val="ff0000"/>
          <w:sz w:val="28"/>
        </w:rPr>
        <w:t>№ 363/45-VI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22 сентября 2010 года № 387/51-IV "О Правилах предоставления жилищной помощи в городе Астане" (зарегистрировано в Реестре государственной регистрации нормативных правовых актов 29 октября 2010 года за № 652, опубликовано 20 ноября 2010 года в газетах "Астана ақшамы" № 129 и "Вечерняя Астана" № 135)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 в городе Астане, утвержденных указанным решением: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и цифры "пунктом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325</w:t>
      </w:r>
      <w:r>
        <w:rPr>
          <w:rFonts w:ascii="Times New Roman"/>
          <w:b w:val="false"/>
          <w:i w:val="false"/>
          <w:color w:val="000000"/>
          <w:sz w:val="28"/>
        </w:rPr>
        <w:t>" заменить словами и цифрами 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190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385".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1"/>
        <w:gridCol w:w="4269"/>
      </w:tblGrid>
      <w:tr>
        <w:trPr>
          <w:trHeight w:val="30" w:hRule="atLeast"/>
        </w:trPr>
        <w:tc>
          <w:tcPr>
            <w:tcW w:w="8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4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4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о. секретаря маслихата</w:t>
            </w:r>
          </w:p>
        </w:tc>
        <w:tc>
          <w:tcPr>
            <w:tcW w:w="4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4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Егинбаев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