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5c8c" w14:textId="01b5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по городу Степногорску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Степногорского городского маслихата Акмолинской области от 17 февраля 2015 года № 5С-36/3. Зарегистрировано Департаментом юстиции Акмолинской области 20 марта 2015 года № 4703. Утратило силу решением Степногорского городского маслихата Акмолинской области от 27 марта 2020 года № 6С-49/5</w:t>
      </w:r>
    </w:p>
    <w:p>
      <w:pPr>
        <w:spacing w:after="0"/>
        <w:ind w:left="0"/>
        <w:jc w:val="both"/>
      </w:pPr>
      <w:r>
        <w:rPr>
          <w:rFonts w:ascii="Times New Roman"/>
          <w:b w:val="false"/>
          <w:i w:val="false"/>
          <w:color w:val="ff0000"/>
          <w:sz w:val="28"/>
        </w:rPr>
        <w:t xml:space="preserve">
      Сноска. Утратило силу решением Степногорского городского маслихата Акмолинской области от 27.03.2020 </w:t>
      </w:r>
      <w:r>
        <w:rPr>
          <w:rFonts w:ascii="Times New Roman"/>
          <w:b w:val="false"/>
          <w:i w:val="false"/>
          <w:color w:val="ff0000"/>
          <w:sz w:val="28"/>
        </w:rPr>
        <w:t>№ 6С-49/5</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Степногорский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по городу Степногорску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Степногорского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 xml:space="preserve">городского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Х.Шакенов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Секретарь городского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Исполняющая обязанности</w:t>
            </w:r>
            <w:r>
              <w:br/>
            </w:r>
            <w:r>
              <w:rPr>
                <w:rFonts w:ascii="Times New Roman"/>
                <w:b w:val="false"/>
                <w:i/>
                <w:color w:val="000000"/>
                <w:sz w:val="20"/>
              </w:rPr>
              <w:t>акима</w:t>
            </w:r>
            <w:r>
              <w:rPr>
                <w:rFonts w:ascii="Times New Roman"/>
                <w:b w:val="false"/>
                <w:i/>
                <w:color w:val="000000"/>
                <w:sz w:val="20"/>
              </w:rPr>
              <w:t xml:space="preserve"> города </w:t>
            </w:r>
            <w:r>
              <w:rPr>
                <w:rFonts w:ascii="Times New Roman"/>
                <w:b w:val="false"/>
                <w:i/>
                <w:color w:val="000000"/>
                <w:sz w:val="20"/>
              </w:rPr>
              <w:t>Степногорска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Э.Салыкова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Степногорского городского маслихата</w:t>
            </w:r>
            <w:r>
              <w:br/>
            </w:r>
            <w:r>
              <w:rPr>
                <w:rFonts w:ascii="Times New Roman"/>
                <w:b w:val="false"/>
                <w:i w:val="false"/>
                <w:color w:val="000000"/>
                <w:sz w:val="20"/>
              </w:rPr>
              <w:t>от 17 февраля 2015 года № 5С-36/3</w:t>
            </w:r>
          </w:p>
        </w:tc>
      </w:tr>
    </w:tbl>
    <w:bookmarkStart w:name="z6" w:id="4"/>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по городу Степногорску</w:t>
      </w:r>
      <w:r>
        <w:br/>
      </w:r>
      <w:r>
        <w:rPr>
          <w:rFonts w:ascii="Times New Roman"/>
          <w:b/>
          <w:i w:val="false"/>
          <w:color w:val="000000"/>
        </w:rPr>
        <w:t>1. Порядок оказания жилищной помощи</w:t>
      </w:r>
    </w:p>
    <w:bookmarkEnd w:id="4"/>
    <w:bookmarkStart w:name="z8" w:id="5"/>
    <w:p>
      <w:pPr>
        <w:spacing w:after="0"/>
        <w:ind w:left="0"/>
        <w:jc w:val="both"/>
      </w:pPr>
      <w:r>
        <w:rPr>
          <w:rFonts w:ascii="Times New Roman"/>
          <w:b w:val="false"/>
          <w:i w:val="false"/>
          <w:color w:val="000000"/>
          <w:sz w:val="28"/>
        </w:rPr>
        <w:t>
      1. Жилищная помощь предоставляется за счет средств городского бюджета малообеспеченным семьям (гражданам), постоянно проживающим в городе Степногорске.</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 (далее - Стандарт).</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Степногорского городского маслихата Акмолинской области от 29.03.2016 </w:t>
      </w:r>
      <w:r>
        <w:rPr>
          <w:rFonts w:ascii="Times New Roman"/>
          <w:b w:val="false"/>
          <w:i w:val="false"/>
          <w:color w:val="000000"/>
          <w:sz w:val="28"/>
        </w:rPr>
        <w:t>№ 6С-2/3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w:t>
      </w:r>
    </w:p>
    <w:bookmarkStart w:name="z11" w:id="6"/>
    <w:p>
      <w:pPr>
        <w:spacing w:after="0"/>
        <w:ind w:left="0"/>
        <w:jc w:val="both"/>
      </w:pPr>
      <w:r>
        <w:rPr>
          <w:rFonts w:ascii="Times New Roman"/>
          <w:b w:val="false"/>
          <w:i w:val="false"/>
          <w:color w:val="000000"/>
          <w:sz w:val="28"/>
        </w:rPr>
        <w:t>
      4. Жилищная помощь назначается ежеквартально малообеспеченным семьям (гражданам), за исключением семей (граждан), имеющих в частной собственности более одной единицы жилья или сдающих жилые помещения в наем (поднаем).</w:t>
      </w:r>
    </w:p>
    <w:bookmarkEnd w:id="6"/>
    <w:bookmarkStart w:name="z12" w:id="7"/>
    <w:p>
      <w:pPr>
        <w:spacing w:after="0"/>
        <w:ind w:left="0"/>
        <w:jc w:val="both"/>
      </w:pPr>
      <w:r>
        <w:rPr>
          <w:rFonts w:ascii="Times New Roman"/>
          <w:b w:val="false"/>
          <w:i w:val="false"/>
          <w:color w:val="000000"/>
          <w:sz w:val="28"/>
        </w:rPr>
        <w:t>
      5. Назначение жилищной помощи производится на текущий квартал, при этом доходы семьи (гражданина) и расходы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учитываются в среднем за истекший квартал.</w:t>
      </w:r>
    </w:p>
    <w:bookmarkEnd w:id="7"/>
    <w:bookmarkStart w:name="z13" w:id="8"/>
    <w:p>
      <w:pPr>
        <w:spacing w:after="0"/>
        <w:ind w:left="0"/>
        <w:jc w:val="both"/>
      </w:pPr>
      <w:r>
        <w:rPr>
          <w:rFonts w:ascii="Times New Roman"/>
          <w:b w:val="false"/>
          <w:i w:val="false"/>
          <w:color w:val="000000"/>
          <w:sz w:val="28"/>
        </w:rPr>
        <w:t>
      6. Финансирование выплат жилищной помощи осуществляется в пределах средств, предусмотренных бюджетом города на соответствующий финансовый год.</w:t>
      </w:r>
    </w:p>
    <w:bookmarkEnd w:id="8"/>
    <w:bookmarkStart w:name="z14" w:id="9"/>
    <w:p>
      <w:pPr>
        <w:spacing w:after="0"/>
        <w:ind w:left="0"/>
        <w:jc w:val="both"/>
      </w:pPr>
      <w:r>
        <w:rPr>
          <w:rFonts w:ascii="Times New Roman"/>
          <w:b w:val="false"/>
          <w:i w:val="false"/>
          <w:color w:val="000000"/>
          <w:sz w:val="28"/>
        </w:rPr>
        <w:t>
      7. Выплата жилищной помощи малообеспеченным семьям (гражданам) осуществляется уполномоченным органом по заявлению получателя жилищной помощи через банки второго уровня, путем перечисления на счета получателя, поставщиков услуг, органов управления объектов кондоминиумов.</w:t>
      </w:r>
    </w:p>
    <w:bookmarkEnd w:id="9"/>
    <w:bookmarkStart w:name="z15" w:id="10"/>
    <w:p>
      <w:pPr>
        <w:spacing w:after="0"/>
        <w:ind w:left="0"/>
        <w:jc w:val="both"/>
      </w:pPr>
      <w:r>
        <w:rPr>
          <w:rFonts w:ascii="Times New Roman"/>
          <w:b w:val="false"/>
          <w:i w:val="false"/>
          <w:color w:val="000000"/>
          <w:sz w:val="28"/>
        </w:rPr>
        <w:t>
      8. Уполномоченным органом по назначению и выплате жилищной помощи определено государственное учреждение "Отдел занятости и социальных программ города Степногорска".</w:t>
      </w:r>
    </w:p>
    <w:bookmarkEnd w:id="10"/>
    <w:bookmarkStart w:name="z16" w:id="11"/>
    <w:p>
      <w:pPr>
        <w:spacing w:after="0"/>
        <w:ind w:left="0"/>
        <w:jc w:val="left"/>
      </w:pPr>
      <w:r>
        <w:rPr>
          <w:rFonts w:ascii="Times New Roman"/>
          <w:b/>
          <w:i w:val="false"/>
          <w:color w:val="000000"/>
        </w:rPr>
        <w:t xml:space="preserve"> 2. Размер оказания жилищной помощи</w:t>
      </w:r>
    </w:p>
    <w:bookmarkEnd w:id="11"/>
    <w:bookmarkStart w:name="z17" w:id="12"/>
    <w:p>
      <w:pPr>
        <w:spacing w:after="0"/>
        <w:ind w:left="0"/>
        <w:jc w:val="both"/>
      </w:pPr>
      <w:r>
        <w:rPr>
          <w:rFonts w:ascii="Times New Roman"/>
          <w:b w:val="false"/>
          <w:i w:val="false"/>
          <w:color w:val="000000"/>
          <w:sz w:val="28"/>
        </w:rPr>
        <w:t xml:space="preserve">
      9. Порядок исчисления совокупного дохода семьи (гражданина), претендующей на получение жилищной помощи рассчитывается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12"/>
    <w:bookmarkStart w:name="z18" w:id="13"/>
    <w:p>
      <w:pPr>
        <w:spacing w:after="0"/>
        <w:ind w:left="0"/>
        <w:jc w:val="both"/>
      </w:pPr>
      <w:r>
        <w:rPr>
          <w:rFonts w:ascii="Times New Roman"/>
          <w:b w:val="false"/>
          <w:i w:val="false"/>
          <w:color w:val="000000"/>
          <w:sz w:val="28"/>
        </w:rPr>
        <w:t>
      10. Доля предельно допустимого уровня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12 процентов.</w:t>
      </w:r>
    </w:p>
    <w:bookmarkEnd w:id="13"/>
    <w:bookmarkStart w:name="z19" w:id="14"/>
    <w:p>
      <w:pPr>
        <w:spacing w:after="0"/>
        <w:ind w:left="0"/>
        <w:jc w:val="both"/>
      </w:pPr>
      <w:r>
        <w:rPr>
          <w:rFonts w:ascii="Times New Roman"/>
          <w:b w:val="false"/>
          <w:i w:val="false"/>
          <w:color w:val="000000"/>
          <w:sz w:val="28"/>
        </w:rPr>
        <w:t>
      11. Жилищная помощь определяется как разница между суммой оплаты расходов в пределах норм и предельно допустимого уровня расходов семьи на эти цели.</w:t>
      </w:r>
    </w:p>
    <w:bookmarkEnd w:id="14"/>
    <w:bookmarkStart w:name="z20" w:id="15"/>
    <w:p>
      <w:pPr>
        <w:spacing w:after="0"/>
        <w:ind w:left="0"/>
        <w:jc w:val="both"/>
      </w:pPr>
      <w:r>
        <w:rPr>
          <w:rFonts w:ascii="Times New Roman"/>
          <w:b w:val="false"/>
          <w:i w:val="false"/>
          <w:color w:val="000000"/>
          <w:sz w:val="28"/>
        </w:rPr>
        <w:t>
      12.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End w:id="15"/>
    <w:bookmarkStart w:name="z21" w:id="16"/>
    <w:p>
      <w:pPr>
        <w:spacing w:after="0"/>
        <w:ind w:left="0"/>
        <w:jc w:val="both"/>
      </w:pPr>
      <w:r>
        <w:rPr>
          <w:rFonts w:ascii="Times New Roman"/>
          <w:b w:val="false"/>
          <w:i w:val="false"/>
          <w:color w:val="000000"/>
          <w:sz w:val="28"/>
        </w:rPr>
        <w:t>
      13. За норму расхода электрической энергии, обеспечиваемую компенсационными мерами, принимается 75 киловатт на одного человека в месяц.</w:t>
      </w:r>
    </w:p>
    <w:bookmarkEnd w:id="16"/>
    <w:bookmarkStart w:name="z22" w:id="17"/>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коммунальных услуг, определяются по фактическим затратам, но не более установленных норм расхода коммунальных услуг для потребителей, не имеющих приборов учета.</w:t>
      </w:r>
    </w:p>
    <w:bookmarkEnd w:id="17"/>
    <w:bookmarkStart w:name="z23" w:id="18"/>
    <w:p>
      <w:pPr>
        <w:spacing w:after="0"/>
        <w:ind w:left="0"/>
        <w:jc w:val="both"/>
      </w:pPr>
      <w:r>
        <w:rPr>
          <w:rFonts w:ascii="Times New Roman"/>
          <w:b w:val="false"/>
          <w:i w:val="false"/>
          <w:color w:val="000000"/>
          <w:sz w:val="28"/>
        </w:rPr>
        <w:t>
      15. Оплата сверх установленных норм производится собственниками или нанимателями (поднанимателями) жилья на общих основаниях.</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Расход твердого топлива на один квадратный метр учитывается в размере 49,75 килограмм в месяц, но не более пяти тонн угля на семью в год. Для расчета стоимости твердого топлива учитываются средние цены по Акмолинской области,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Степногорского городского маслихата Акмолинской области от 29.03.2016 </w:t>
      </w:r>
      <w:r>
        <w:rPr>
          <w:rFonts w:ascii="Times New Roman"/>
          <w:b w:val="false"/>
          <w:i w:val="false"/>
          <w:color w:val="000000"/>
          <w:sz w:val="28"/>
        </w:rPr>
        <w:t>№ 6С-2/3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Степногорского городского маслихата</w:t>
            </w:r>
            <w:r>
              <w:br/>
            </w:r>
            <w:r>
              <w:rPr>
                <w:rFonts w:ascii="Times New Roman"/>
                <w:b w:val="false"/>
                <w:i w:val="false"/>
                <w:color w:val="000000"/>
                <w:sz w:val="20"/>
              </w:rPr>
              <w:t>от 17 февраля 2015 года № 5С-36/3</w:t>
            </w:r>
          </w:p>
        </w:tc>
      </w:tr>
    </w:tbl>
    <w:bookmarkStart w:name="z27" w:id="19"/>
    <w:p>
      <w:pPr>
        <w:spacing w:after="0"/>
        <w:ind w:left="0"/>
        <w:jc w:val="left"/>
      </w:pPr>
      <w:r>
        <w:rPr>
          <w:rFonts w:ascii="Times New Roman"/>
          <w:b/>
          <w:i w:val="false"/>
          <w:color w:val="000000"/>
        </w:rPr>
        <w:t xml:space="preserve"> Перечень утративших силу некоторых решений Степногорского городского маслихата</w:t>
      </w:r>
    </w:p>
    <w:bookmarkEnd w:id="19"/>
    <w:bookmarkStart w:name="z28"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24 декабря 2013 года № 5С-25/5 "Об утверждении Правил предоставления жилищной помощи малообеспеченным семьям (гражданам) по городу Степногорску" (зарегистрировано в Реестре государственной регистрации нормативных правовых актов № 3969, опубликовано 23 января 2014 года в газетах "Степногорск ақшамы" и "Вечерний Степногорск");</w:t>
      </w:r>
    </w:p>
    <w:bookmarkEnd w:id="20"/>
    <w:bookmarkStart w:name="z29"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22 октября 2014 года № 5С-32/9 "О внесении изменений в решение Степногорского городского маслихата от 24 декабря 2013 года № 5С-25/5 "Об утверждении Правил предоставления жилищной помощи малообеспеченным семьям (гражданам) по городу Степногорску" (зарегистрировано в Реестре государственной регистрации нормативных правовых актов № 4443, опубликовано 13 ноября 2014 года в газетах "Степногорск ақшамы" и "Вечерний Степногорск");</w:t>
      </w:r>
    </w:p>
    <w:bookmarkEnd w:id="21"/>
    <w:bookmarkStart w:name="z30"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Степногорского городского маслихата от 24 декабря 2014 года № 5С-34/5 "О внесении изменения в решение Степногорского городского маслихата от 24 декабря 2013 года № 5С-25/5 "Об утверждении Правил предоставления жилищной помощи малообеспеченным семьям (гражданам) по городу Степногорску" (зарегистрировано в Реестре государственной регистрации нормативных правовых актов № 4593, опубликовано 22 января 2015 года в газетах "Степногорск ақшамы" и "Вечерний Степногорск").</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