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ce97" w14:textId="0bec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охранных зон, зон регулирования застройки и зон охраняемого природного ландшафта объектов историко-культурного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декабря 2015 года № 352. Зарегистрировано Департаментом юстиции Актюбинской области 22 января 2016 года № 4690. Утратило силу решением маслихата Актюбинской области от 10 августа 2020 года № 556.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10.08.2020 № 556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Земельного Кодекса Республики Казахстан от 20 июня 2003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2014 года № 156, зарегистрированного в Реестре государственной регистрации нормативных правовых актов за № 10171,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Утвердить, согласно прилагаемым схематическим картам, границы охранных зон, зон регулирования застройки и зон охраняемого природного ландшафта объектов историко-культурного наследия: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некрополя Даумшар, расположенного в 37 километрах к юго-западу от села Жаркамыс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некрополя Карасакал, расположенного в 60 километрах к юго-западу от села Жаркамыс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мавзолея Сундета, расположенного в 68 километрах к юго-западу от села Жаркамыс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некрополя Асан-Кожа, расположенного в 43 километрах к западу-юго-западу от села Оймаут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мавзолея Токбана, расположенного в 18 километрах к северо-западу от села Жанаконыс Шалкарского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некрополя Даумшар</w:t>
      </w:r>
      <w:r>
        <w:br/>
      </w:r>
      <w:r>
        <w:rPr>
          <w:rFonts w:ascii="Times New Roman"/>
          <w:b/>
          <w:i w:val="false"/>
          <w:color w:val="000000"/>
        </w:rPr>
        <w:t>(ХVІІ - начало ХХ веков)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проходит по границам ландшафта, являющегося функционально неотъемлемой частью некрополя Даумшар, расположенного в 37 километрах к юго-западу от села Жаркамыс Байганинского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вошли более 200 надгробных сооружений,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могила Даумшара;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мавзолей Мурза-Муруна;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мавзолеи;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саганатамы;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каменные и сырцовые надмогильные ограды с кулпытасами;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некрополя Даумшар и прилегающих границ охранной зоны, зоны регулирования застройки и зоны охраняемого природного ландшафта составляет 11,38 гектара.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некрополя Даумшар – 2,81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охранной зоны – 1,26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регулирования застройки – 3,20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охраняемого природного ландшафта - 4,11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занимает территорию, прилегающую к границам зоны регулирования застройки памятника. В нее входит важное для истории и памятника природное окружение, имеющее высокое научное значение и высокие эстетические качества.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некрополя Даумшар</w:t>
      </w:r>
      <w:r>
        <w:br/>
      </w:r>
      <w:r>
        <w:rPr>
          <w:rFonts w:ascii="Times New Roman"/>
          <w:b/>
          <w:i w:val="false"/>
          <w:color w:val="000000"/>
        </w:rPr>
        <w:t xml:space="preserve">(ХVІІ - начало ХХ веков)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некрополя Карасакал</w:t>
      </w:r>
      <w:r>
        <w:br/>
      </w:r>
      <w:r>
        <w:rPr>
          <w:rFonts w:ascii="Times New Roman"/>
          <w:b/>
          <w:i w:val="false"/>
          <w:color w:val="000000"/>
        </w:rPr>
        <w:t>(XVII – начало XX веков)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проходит по границам ландшафта, являющегося функционально неотъемлемой частью некрополя Карасакал, расположенного в 60 километрах к юго-западу от села Жаркамыс Байганинского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вошли не менее одной тысячи надгробных сооружений,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могила Карасакала;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мавзолей Индибая;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мавзолеи;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саганатамы;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надмогильные сооружения из сырцовых кирпичей и плитняка;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некрополя Карасакал и прилегающих границ охранной зоны, зоны регулирования застройки и зоны охраняемого природного ландшафта составляет 31,57 гектара.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некрополя Карасакал – 14,86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охранной зоны – 2,88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регулирования застройки – 6,47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охраняемого природного ландшафта – 7,36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занимает территорию, прилегающую к границам зоны регулирования застройки памятника. В нее входит важное для истории и памятника природное окружение, имеющее высокое научное значение и высокие эстетические качества.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некрополя Карасакал</w:t>
      </w:r>
      <w:r>
        <w:br/>
      </w:r>
      <w:r>
        <w:rPr>
          <w:rFonts w:ascii="Times New Roman"/>
          <w:b/>
          <w:i w:val="false"/>
          <w:color w:val="000000"/>
        </w:rPr>
        <w:t xml:space="preserve">(XVII – начало XX веков)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мавзолея Сундета</w:t>
      </w:r>
      <w:r>
        <w:br/>
      </w:r>
      <w:r>
        <w:rPr>
          <w:rFonts w:ascii="Times New Roman"/>
          <w:b/>
          <w:i w:val="false"/>
          <w:color w:val="000000"/>
        </w:rPr>
        <w:t>(вторая половина XIX века)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проходит по границам ландшафта, являющегося функционально неотъемлемой частью мавзолея Сундета, расположенного в 68 километрах к юго-западу от села Жаркамыс Байганинского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вошли: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мавзолей Сундета (вторая половина XIX века);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сандыктас;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около 20 сырцовых и каменных надмогильных оградок;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шесть кулпытасов.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мавзолея Сундета и прилегающих границ охранной зоны, зоны регулирования застройки и зоны охраняемого природного ландшафта составляет 4,89 гектара.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мавзолея Сундета – 0,63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охранной зоны – 0,54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регулирования застройки – 1,54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зоны охраняемого природного ландшафта – 2,18 гектара.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занимает территорию, прилегающую к границам зоны регулирования застройки памятника. В нее входит важное для истории и памятника природное окружение, имеющее высокое научное значение и высокие эстетические качества.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мавзолея Сундета</w:t>
      </w:r>
      <w:r>
        <w:br/>
      </w:r>
      <w:r>
        <w:rPr>
          <w:rFonts w:ascii="Times New Roman"/>
          <w:b/>
          <w:i w:val="false"/>
          <w:color w:val="000000"/>
        </w:rPr>
        <w:t xml:space="preserve">(вторая половина XIX века)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некрополя Асан-Кожа</w:t>
      </w:r>
      <w:r>
        <w:br/>
      </w:r>
      <w:r>
        <w:rPr>
          <w:rFonts w:ascii="Times New Roman"/>
          <w:b/>
          <w:i w:val="false"/>
          <w:color w:val="000000"/>
        </w:rPr>
        <w:t>(XVII – начало XX веков)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проходит по границам ландшафта, являющегося функционально неотъемлемой частью некрополя Асан-Кожа, расположенного в 43 километрах к западу-юго-западу от села Оймаут Байганинского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вошли 264 надгробных сооружений,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мавзолеи;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саганатамы;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надмогильные сооружения из сырцовых кирпичей и плитняка;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некрополя Асан-Кожа и прилегающих границ охранной зоны, зоны регулирования застройки и зоны охраняемого природного ландшафта составляет 12,7 гектара.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некрополя Асан-Кожа – 3,6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охранной зоны – 1,4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регулирования застройки – 3,42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охраняемого природного ландшафта – 4,28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занимает территорию, прилегающую к границам зоны регулирования застройки памятника. В нее входит важное для истории и памятника природное окружение, имеющее высокое научное значение и высокие эстетические качества.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некрополя Асан-Кожа</w:t>
      </w:r>
      <w:r>
        <w:br/>
      </w:r>
      <w:r>
        <w:rPr>
          <w:rFonts w:ascii="Times New Roman"/>
          <w:b/>
          <w:i w:val="false"/>
          <w:color w:val="000000"/>
        </w:rPr>
        <w:t xml:space="preserve">(XVII – начало XX веков)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мавзолея Токбана</w:t>
      </w:r>
      <w:r>
        <w:br/>
      </w:r>
      <w:r>
        <w:rPr>
          <w:rFonts w:ascii="Times New Roman"/>
          <w:b/>
          <w:i w:val="false"/>
          <w:color w:val="000000"/>
        </w:rPr>
        <w:t>(середина XIX века)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проходит по границам ландшафта, являющегося функционально неотъемлемой частью мавзолея Токбана, расположенного в 18 километрах к северо-западу от села Жанаконыс Шалкарского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вошли: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мавзолей Токбана (середина XIX века);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девять сырцовых и каменных надмогильных оградок;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кулпытаса.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мавзолея Токбана и прилегающих границ охранной зоны, зоны регулирования застройки и зоны охраняемого природного ландшафта составляет 4,86 гектара.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мавзолея Токбана – 0,50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охранной зоны – 0,50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регулирования застройки – 1,56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зоны охраняемого природного ландшафта – 2,3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занимает территорию, прилегающую к границам зоны регулирования застройки памятника. В нее входит важное для истории и памятника природное окружение, имеющее высокое научное значение и высокие эстетические качества.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мавзолея Токбана</w:t>
      </w:r>
      <w:r>
        <w:br/>
      </w:r>
      <w:r>
        <w:rPr>
          <w:rFonts w:ascii="Times New Roman"/>
          <w:b/>
          <w:i w:val="false"/>
          <w:color w:val="000000"/>
        </w:rPr>
        <w:t xml:space="preserve">(середина XIX века)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