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cb0a" w14:textId="4d2c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Уйгурского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Уйгурского района Алматинской области от 10 апреля 2015 года № 04-76. Зарегистрировано Департаментом юстиции Алматинской области 22 мая 2015 года № 3176. Утратило силу постановлением акимата Уйгурского района Алматинской области от 2 июля 2024 года № 234</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акимата Уйгурского района Алматинской области от 02.07.2024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января 2001 года "О местном государственном управлении и самоуправлении в Республике Казахстан" и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района </w:t>
      </w:r>
      <w:r>
        <w:rPr>
          <w:rFonts w:ascii="Times New Roman"/>
          <w:b/>
          <w:i w:val="false"/>
          <w:color w:val="000000"/>
          <w:sz w:val="28"/>
        </w:rPr>
        <w:t>ПОСТАНОВЛЯЕТ: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1.Утвердить регламент акимата Уйгурского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постановления возложить на руководителя аппарата акима района Исламова Султан Турсуновича.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акима района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Уйгурского района от " 10 " апреля 2015 года за № 04 - 76 "Об утверждении регламента акимата Уйгурского района"</w:t>
            </w:r>
          </w:p>
        </w:tc>
      </w:tr>
    </w:tbl>
    <w:bookmarkStart w:name="z10" w:id="1"/>
    <w:p>
      <w:pPr>
        <w:spacing w:after="0"/>
        <w:ind w:left="0"/>
        <w:jc w:val="left"/>
      </w:pPr>
      <w:r>
        <w:rPr>
          <w:rFonts w:ascii="Times New Roman"/>
          <w:b/>
          <w:i w:val="false"/>
          <w:color w:val="000000"/>
        </w:rPr>
        <w:t xml:space="preserve"> Регламент акимата Уйгурского района</w:t>
      </w:r>
    </w:p>
    <w:bookmarkEnd w:id="1"/>
    <w:bookmarkStart w:name="z11" w:id="2"/>
    <w:p>
      <w:pPr>
        <w:spacing w:after="0"/>
        <w:ind w:left="0"/>
        <w:jc w:val="left"/>
      </w:pPr>
      <w:r>
        <w:rPr>
          <w:rFonts w:ascii="Times New Roman"/>
          <w:b/>
          <w:i w:val="false"/>
          <w:color w:val="000000"/>
        </w:rPr>
        <w:t xml:space="preserve"> 1. Общие положения</w:t>
      </w:r>
    </w:p>
    <w:bookmarkEnd w:id="2"/>
    <w:p>
      <w:pPr>
        <w:spacing w:after="0"/>
        <w:ind w:left="0"/>
        <w:jc w:val="both"/>
      </w:pPr>
      <w:bookmarkStart w:name="z12" w:id="3"/>
      <w:r>
        <w:rPr>
          <w:rFonts w:ascii="Times New Roman"/>
          <w:b w:val="false"/>
          <w:i w:val="false"/>
          <w:color w:val="000000"/>
          <w:sz w:val="28"/>
        </w:rPr>
        <w:t>
      1. Акимат Уйгурского района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Количество членов акимата определяется акимом.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Персональный состав акимата определяется акимом и согласовывается решением сессии Уйгурского районного маслихата.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Деятельность акимата регулируется Конституцией Республики Казахстан, Законом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Регламентом.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Информационно - аналитическое, организационно - правовое и материально - техническое обеспечение деятельности акимата осуществляет аппарат акима района (далее-аппарат).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Ведение делопроизводства акимата и обработка корреспонденции, поступающей в акимат, возлагается на общий отдел аппарата и осуществляется в порядке, разрабатываемом в соответствии с требованиями Закона Республики Казахстан "Об административных процедурах", нормативных правовых актов Правительства Республики Казахстан и утверждаемом акимом района (далее - аким).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акимата и акима, проектов актов.</w:t>
      </w:r>
    </w:p>
    <w:bookmarkStart w:name="z21" w:id="4"/>
    <w:p>
      <w:pPr>
        <w:spacing w:after="0"/>
        <w:ind w:left="0"/>
        <w:jc w:val="left"/>
      </w:pPr>
      <w:r>
        <w:rPr>
          <w:rFonts w:ascii="Times New Roman"/>
          <w:b/>
          <w:i w:val="false"/>
          <w:color w:val="000000"/>
        </w:rPr>
        <w:t xml:space="preserve"> 2. Планирование работы</w:t>
      </w:r>
    </w:p>
    <w:bookmarkEnd w:id="4"/>
    <w:p>
      <w:pPr>
        <w:spacing w:after="0"/>
        <w:ind w:left="0"/>
        <w:jc w:val="both"/>
      </w:pPr>
      <w:bookmarkStart w:name="z22" w:id="5"/>
      <w:r>
        <w:rPr>
          <w:rFonts w:ascii="Times New Roman"/>
          <w:b w:val="false"/>
          <w:i w:val="false"/>
          <w:color w:val="000000"/>
          <w:sz w:val="28"/>
        </w:rPr>
        <w:t>
      7. Ежеквартальный перечень вопросов для рассмотрения на заседаниях акимата составляется организационным, государственно-правовым отделом аппарата по предложению членов акимата и руководителей исполнительных органов, финансируемых из районного бюджета (далее - исполнительные органы).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 вопросов, планируемых к рассмотрению на заседаниях акимата, утверждается акимом.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p>
    <w:bookmarkStart w:name="z26" w:id="6"/>
    <w:p>
      <w:pPr>
        <w:spacing w:after="0"/>
        <w:ind w:left="0"/>
        <w:jc w:val="left"/>
      </w:pPr>
      <w:r>
        <w:rPr>
          <w:rFonts w:ascii="Times New Roman"/>
          <w:b/>
          <w:i w:val="false"/>
          <w:color w:val="000000"/>
        </w:rPr>
        <w:t xml:space="preserve"> 3. Порядок подготовки и проведения заседаний акимата</w:t>
      </w:r>
    </w:p>
    <w:bookmarkEnd w:id="6"/>
    <w:p>
      <w:pPr>
        <w:spacing w:after="0"/>
        <w:ind w:left="0"/>
        <w:jc w:val="both"/>
      </w:pPr>
      <w:bookmarkStart w:name="z27" w:id="7"/>
      <w:r>
        <w:rPr>
          <w:rFonts w:ascii="Times New Roman"/>
          <w:b w:val="false"/>
          <w:i w:val="false"/>
          <w:color w:val="000000"/>
          <w:sz w:val="28"/>
        </w:rPr>
        <w:t>
      8. Заседания акимата проводятся не реже одного раза в месяц и созываются акимом.</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На заседаниях акимата председательствует аким, а в его отсутствие - заместитель, исполняющий обязанности акима.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Заседания акимата, как правило, являются открытыми и ведутся на государственном и (или) русском языках.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необходимости, отдельные вопросы могут рассматриваться на закрытых заседаниях.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Заседание акимата считается правомочным, если в нем принимает участие не менее двух третей членов акимата.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результатам рассмотрения вопроса на заседании акимата принимается постановление.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Постановления принимаются большинством голосов присутствующих членов акимата.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Подготовка аппаратом либо исполнительным органом вопросов к рассмотрению на заседании акимата осуществляется с соблюдением следующих требований: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проект и справка, как правило, не должны превышать 5 страниц текста, напечатанного через два интервала;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проект и справка по каждому вопросу должны иметь идентичные заголовки;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 материалам, вносимым на заседания акимата, прикладываются при необходимости дополнительные информационные сведения;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организационный, государственно-правовой отдел аппарата.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Общий отдел аппарата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Вопросы, рассматриваемые на заседаниях, записываются на электронные носители информации.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общим отделом аппарата, который визируется руководителем аппарата и подписывается председательствовавшим на заседании.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Протоколы заседаний акимата (подлинники), а также документы к ним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хранятся в общем отделе аппарата.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Порядок подготовки и оформления проектов актов акимата и акима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Предложения в адрес акимата исполнительными органами для принятия им соответствующего решения вносятся в следующих случаях: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когда решение вопроса входит в компетенцию акимата;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при возникновении разногласий между местными исполнительными органами.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"О нормативных правовых актах", "Об административных процедурах", настоящим Регламентом.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Проекты представляются на государственном и (или) русском языках, согласованные с заинтересованными органами, подписанные первыми руководителями или лицами, их замещающими.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Проекты в обязательном порядке согласовываются: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Разработчик проекта одновременно направляет на согласование копии проекта всем заинтересованным исполнительным органам.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Аким, заместители акима и руководитель аппарата могут устанавливать иные сроки согласования.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проект согласован без замечаний (виза на проекте);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 согласовании проекта отказано (прилагается мотивированный отказ).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Разработанный (доработанный) проект (с соответствующими материалами к нему) вносится в организационный, государственно-правовой отдел аппарата для проведения экспертизы и подготовки заключения (далее - экспертиза) по проекту. Перед регистрацией в общем отделе аппарата проект проверяется на соответствие требованиям делопроизводства.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 наличии замечаний о несоответствии проекта требованиям делопроизводства общий отдел аппарата до регистрации проекта вправе его возвратить разработчику.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После регистрации проект в общем отделе аппарата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Аппарат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неаутентичности текстов проекта на государственном и русском языках;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несоответствия его законодательству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представления с нарушением требований настоящего Регламента.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Постановления акимата, решения и распоряжения акима подписываются акимом. Исключается внесение исправлений в подлинники актов после их подписания.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Заверенные копии постановлений акимата, решений и распоряжений акима рассылаются общим отделом аппарата в соответствии с утвержденной руководителем аппарата рассылкой.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Подлинники постановлений акимата, решений и распоряжений акима хранятся в общем отделе аппарата.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Ответственность за своевременный выпуск и рассылку документов адресатам несет общий отдел аппарата.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общий отдел аппарата.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общим отделом аппарата.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Акты акимата и (или) акима, носящие общеобязательное значение, межведомственный характер или касающиеся прав, свобод и обязанностей граждан, подлежат государственной регистрации территориальными органами Министерства юстиции Республики Казахстан и обязательному официальному опубликованию в газете "Кара дала тынысы" - "Кара дала напаси" (по согласованию) и на официальном сайте акима.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Направление актов для публикации осуществляется организационным, государственно-правовым отделом аппарата.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общим отделом аппарата в порядке, определяемом руководителем аппарата.</w:t>
      </w:r>
    </w:p>
    <w:bookmarkStart w:name="z93" w:id="8"/>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области, района</w:t>
      </w:r>
    </w:p>
    <w:bookmarkEnd w:id="8"/>
    <w:p>
      <w:pPr>
        <w:spacing w:after="0"/>
        <w:ind w:left="0"/>
        <w:jc w:val="both"/>
      </w:pPr>
      <w:bookmarkStart w:name="z94" w:id="9"/>
      <w:r>
        <w:rPr>
          <w:rFonts w:ascii="Times New Roman"/>
          <w:b w:val="false"/>
          <w:i w:val="false"/>
          <w:color w:val="000000"/>
          <w:sz w:val="28"/>
        </w:rPr>
        <w:t>
      34. Организация исполнения законодательных актов, актов Президента, Правительства, Премьер-Министра, акимата и акима осуществляется в соответствии с Указом Президента Республики Казахстан "Об утверждении Положения о порядке подготовки, согласования, представления на подпись актов Президента Республики Казахстан и контроля за исполнением актов и поручений Президента Республики Казахстан" от 2 октября 1998 года № 4097, настоящим Регламентом и иным законодательством Республики Казахстан.</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На контроль берутся законодательные акты, акты и поручения Президента Республики, Правительства, Премьер-Министра Республики, акиматов и акимов области, района и иные поручения государственных органов и должностных лиц в пределах своей компетенции.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и района возлагается на первых руководителей исполнительных органов, которым они направлены на исполнение.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В поручении акима и его заместителей устанавливаются сроки исполнения документов. В случае неустановления сроков, определяется месячный срок исполнения, исчисляемый со дня поступления документа, а при наличии грифа "срочно" - десятидневный срок.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Контроль за исполнением поручений акима осуществляет общий отдел аппарата.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осуществляется общим отделом аппарата в порядке, определяемом акимом.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Общий отдел аппарата,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