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8fb5" w14:textId="c108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Уйгурского района</w:t>
      </w:r>
    </w:p>
    <w:p>
      <w:pPr>
        <w:spacing w:after="0"/>
        <w:ind w:left="0"/>
        <w:jc w:val="both"/>
      </w:pPr>
      <w:r>
        <w:rPr>
          <w:rFonts w:ascii="Times New Roman"/>
          <w:b w:val="false"/>
          <w:i w:val="false"/>
          <w:color w:val="000000"/>
          <w:sz w:val="28"/>
        </w:rPr>
        <w:t>Постановление акимата Уйгурского района Алматинской области от 10 апреля 2015 года № 04-76. Зарегистрировано Департаментом юстиции Алматинской области 22 мая 2015 года № 3176</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1.Утвердить регламент акимата Уйгурского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района Исламова Султан Турсуновича.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Исполняющий обязанности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Бекмуханбетов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Уйгурского района от " 10 " апреля 2015 года за № 04 - 76 "Об утверждении регламента акимата Уйгурского района"</w:t>
            </w:r>
          </w:p>
        </w:tc>
      </w:tr>
    </w:tbl>
    <w:bookmarkStart w:name="z10" w:id="0"/>
    <w:p>
      <w:pPr>
        <w:spacing w:after="0"/>
        <w:ind w:left="0"/>
        <w:jc w:val="left"/>
      </w:pPr>
      <w:r>
        <w:rPr>
          <w:rFonts w:ascii="Times New Roman"/>
          <w:b/>
          <w:i w:val="false"/>
          <w:color w:val="000000"/>
        </w:rPr>
        <w:t xml:space="preserve"> Регламент акимата Уйгурского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Уйгурского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Уйгурского районного маслихата.</w:t>
      </w:r>
      <w:r>
        <w:br/>
      </w:r>
      <w:r>
        <w:rPr>
          <w:rFonts w:ascii="Times New Roman"/>
          <w:b w:val="false"/>
          <w:i w:val="false"/>
          <w:color w:val="000000"/>
          <w:sz w:val="28"/>
        </w:rPr>
        <w:t>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 - аналитическое, организационно - правовое и материально - техническое обеспечение деятельности акимата осуществляет аппарат акима района (далее-аппарат).</w:t>
      </w:r>
      <w:r>
        <w:br/>
      </w:r>
      <w:r>
        <w:rPr>
          <w:rFonts w:ascii="Times New Roman"/>
          <w:b w:val="false"/>
          <w:i w:val="false"/>
          <w:color w:val="000000"/>
          <w:sz w:val="28"/>
        </w:rPr>
        <w:t>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общий отдел аппарата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организационным, государственно-правовым отделом аппарата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организационный, государственно-правовой отдел аппарата.</w:t>
      </w:r>
      <w:r>
        <w:br/>
      </w:r>
      <w:r>
        <w:rPr>
          <w:rFonts w:ascii="Times New Roman"/>
          <w:b w:val="false"/>
          <w:i w:val="false"/>
          <w:color w:val="000000"/>
          <w:sz w:val="28"/>
        </w:rPr>
        <w:t>
      </w:t>
      </w:r>
      <w:r>
        <w:rPr>
          <w:rFonts w:ascii="Times New Roman"/>
          <w:b w:val="false"/>
          <w:i w:val="false"/>
          <w:color w:val="000000"/>
          <w:sz w:val="28"/>
        </w:rPr>
        <w:t>14. Общий отдел аппарата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общим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w:t>
      </w:r>
      <w:r>
        <w:br/>
      </w:r>
      <w:r>
        <w:rPr>
          <w:rFonts w:ascii="Times New Roman"/>
          <w:b w:val="false"/>
          <w:i w:val="false"/>
          <w:color w:val="000000"/>
          <w:sz w:val="28"/>
        </w:rPr>
        <w:t>
      </w:t>
      </w:r>
      <w:r>
        <w:rPr>
          <w:rFonts w:ascii="Times New Roman"/>
          <w:b w:val="false"/>
          <w:i w:val="false"/>
          <w:color w:val="000000"/>
          <w:sz w:val="28"/>
        </w:rPr>
        <w:t>хранятся в общем отделе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r>
        <w:rPr>
          <w:rFonts w:ascii="Times New Roman"/>
          <w:b w:val="false"/>
          <w:i w:val="false"/>
          <w:color w:val="000000"/>
          <w:sz w:val="28"/>
        </w:rPr>
        <w:t>4. Порядок подготовки и оформления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актах", "Об административных процедурах",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(или)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организационный, государственно-правовой отдел аппарата для проведения экспертизы и подготовки заключения (далее - экспертиза) по проекту. Перед регистрацией в общем отделе аппарата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общий отдел аппарата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общем отделе аппарата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общим отделом аппарата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общем отделе аппарата.</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общий отдел аппарата.</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общий отдел аппарата.</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общим отделом аппарата.</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межведомственный характер или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газете "Кара дала тынысы" - "Кара дала напаси" (по согласованию) и на официальном сайте акима.</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организационным, государственно-правовым отделом аппарата.</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общим отделом аппарата в порядке, определяемом руководителем аппарата.</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Контроль за исполнением поручений акима осуществляет общий отдел аппарата.</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общим отделом аппарата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40. Общий отдел аппарата,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