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07fb" w14:textId="f950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деятельности акцизных постов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государственных доходов Министерства финансов Республики Казахстан от 19 января 2015 года № 30. Зарегистрирован в Министерстве юстиции Республики Казахстан 18 февраля 2015 года № 10281. Утратил силу приказом Министра финансов Республики Казахстан от 14 декабря 2015 года № 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14.12.2015 </w:t>
      </w:r>
      <w:r>
        <w:rPr>
          <w:rFonts w:ascii="Times New Roman"/>
          <w:b w:val="false"/>
          <w:i w:val="false"/>
          <w:color w:val="ff0000"/>
          <w:sz w:val="28"/>
        </w:rPr>
        <w:t>№ 652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статьи 653 Кодекса Республики Казахстан от 10 декабря 2008 года «О налогах и других обязательных платежах в бюджет» (Налоговый кодекс), а также подпунктом 28)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Комитете государственных доходов Министерства финансов Республики Казахстан, утвержденного приказом Министра финансов Республики Казахстан от 26 сентября 2014 года № 417, зарегистрированным в Реестре государственной регистрации нормативных правовых актов за № 9777,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деятельности акцизных постов.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Заместителю председателя Комитета государственных доходов Министерства финансов Республики Казахстан (Кипшаков А.М.)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официальном интернет-ресурсе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первого официального опубликования.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Д. Ергожин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доходов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января 2015 года № 30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деятельности акцизных постов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деятельности акцизных постов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6 статьи 653 Кодекса Республики Казахстан от 10 декабря 2008 года «О налогах и других обязательных платежах в бюджет» (Налоговый кодекс) и определяют порядок организации деятельности акцизных постов.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Акцизные посты устанавливаются на территории налогоплательщиков по адресу производства или по адресу, указанному в лицензии, непосредственно в местах осуществления производства: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этилового спирта;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алкогольной продукции (кроме пива, производственные мощности которых ниже четырехсот тысяч декалитров в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табачных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бензина (за исключением авиационного), дизельного топлива (далее – нефтепродукты).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деятельности акцизных постов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Оперативное руководство и координация деятельности акцизных постов осуществляется руководителями органов государственных доходов по областям, городам Алматы и Астана по месту регистрации налогоплательщика по отдельным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Организация, места нахождения и состав работников акцизных постов, регламент их работы в пределах режима работы налогоплательщика определяются руководителем органа государственных доходов по месту регистрации налогоплательщика по отдельным видам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Должностные лица при осуществлении действий, указанных в настоящих Правилах, руководствуются нормами 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по вопросам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производства и оборота отдельных видов подакцизных товаров,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частью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653 Налогового кодекса должностное лицо налогового органа, находящееся на акцизном посту: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обследует административные, производственные, складские, торговые, подсобные помещения налогоплательщика, используемые для производства, хранения и реализации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присутствует при реализации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осматривает грузовые транспортные средства, выезжающие (въезжающие) с территории (на территорию) налогоплательщика.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частью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653 Налогового кодекса должностное лицо налогового органа, находящееся на акцизном посту, осуществляет контроль 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соблюдением налогоплательщиком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регулирующего производство и реализацию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наличием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 покупателя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приложения к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отводом и (или) отпуском подакцизных товаров исключительно через измеряющие аппараты или реализацией (розливом) через приборы учета, а также эксплуатацией последних в опломбированном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соблюдением налогоплательщиком </w:t>
      </w:r>
      <w:r>
        <w:rPr>
          <w:rFonts w:ascii="Times New Roman"/>
          <w:b w:val="false"/>
          <w:i w:val="false"/>
          <w:color w:val="000000"/>
          <w:sz w:val="28"/>
        </w:rPr>
        <w:t>порядка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маркировки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отдельных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подакцизных товаров учетно-контрольными или акцизными марками;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соблюдением налогоплательщиком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оформления</w:t>
      </w:r>
      <w:r>
        <w:rPr>
          <w:rFonts w:ascii="Times New Roman"/>
          <w:b w:val="false"/>
          <w:i w:val="false"/>
          <w:color w:val="000000"/>
          <w:sz w:val="28"/>
        </w:rPr>
        <w:t> сопроводительных накладных на отдельные виды подакцизных товаров при их отпуске;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правильностью применения </w:t>
      </w:r>
      <w:r>
        <w:rPr>
          <w:rFonts w:ascii="Times New Roman"/>
          <w:b w:val="false"/>
          <w:i w:val="false"/>
          <w:color w:val="000000"/>
          <w:sz w:val="28"/>
        </w:rPr>
        <w:t>ставок акцизов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подакцизные товары, своевременностью и полнотой уплаты акцизов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движением основного сырья для производства подакцизных товаров, вспомогательных материалов, готовой продукции, учетно-контрольных марок или акцизных марок.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Должностное лицо, при нахождении на акцизном посту: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присутствует при отгрузке, разгрузке (приемке), перемещении основного сырья, вспомогательных материалов, отдельных видов подакцизных товаров и сверяет их объемы с данными, указанными в товаросопроводительных документах и с принятыми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осуществляет посредством специальных приборов выборочную проверку подлинности </w:t>
      </w:r>
      <w:r>
        <w:rPr>
          <w:rFonts w:ascii="Times New Roman"/>
          <w:b w:val="false"/>
          <w:i w:val="false"/>
          <w:color w:val="000000"/>
          <w:sz w:val="28"/>
        </w:rPr>
        <w:t>учетно-контрольных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марок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не завершения приемки (разгрузки) ввозимой подакцизной продукции в текущем рабочем дне совместно с ответственным работником организации пломбирует одноразовыми индикаторными контрольными пломбами на нерабочий период времени складские помещения, транспортные средства и проверяет наличие подакцизных товаров и их целостность;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пломбирует одноразовыми индикаторными контрольными пломбами на нерабочий период времени и время простоя: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линии по производству отдельных видов подакцизных товаров таким образом, чтобы исключалось их использование и функционирование;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краны подачи этилового спирта со спиртохранилища в производство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краны (вентили) подачи сырой нефти, нефтепродуктов в производство отдельных видов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въездные и выездные ворота производителя (по согласованию с производителем);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впускные и выпускные трубопроводы купажного цеха производителя алкогольной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краны (вентили) впускных и выпускных трубопроводов организаций, осуществляющих компаундирование нефтепродуктов и мининефтеперерабатывающего завода;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складские помещения, предназначенные для хранения отдельных видов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краны отпуска (реализации) бензина, дизельного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осуществления работ по опломбированию должностное лицо органа государственных доходов составляет акт опломбирования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чрезвычайных ситуаций природного и техногенного характера указанные пломбы снимаются представителями производителя.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чрезвычайной ситуации природного и техногенного характера подтверждается уполномоченным органом в области предупреждения и ликвидации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запрашивает от руководителя и других должностных лиц производителя сведения и документы по производству и обороту отдельных видов подакцизных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осуществляет снятие остатков отдельных видов подакцизных товаров, а также основного сырья и вспомогательных материалов, указанных в настоящих Правилах, составляет акт снятия остатков отдельных видов подакцизных товаров, а также основного сырья и вспомогательных материалов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демонтаже, замене или вводе нового оборудования, используемого в производстве отдельных видов подакцизных товаров, в срок не более одного рабочего дня информирует в письменном виде орган государственных доходов и Комитет государственных доходов Министерства финансов Республики Казахстан (далее - Комитет государственных доходов);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второй день после нахождения на акцизном посту посредством информационной системы «Акциз» обеспечивает передачу в Комитет государственных доходов отчета по объемам производства и реализации этилового спирта и (или) алкогольной продукции (кроме виноматериала) акцизного поста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отчета по объемам реализации бензина (за исключением авиационного) и дизельного топлива акцизного поста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случае обнаружения срыва или искажения пломбы (за исключением возникновения чрезвычайных ситуаций природного и техногенного характера) либо искажения показаний спиртоизмеряющих аппаратов, контрольных приборов учета, обнаружения отсутствия учетно-контрольных марок на алкогольной продукции, акцизных марок на табачных изделиях, составляет соответствующий акт. Указанные факты в срок не позднее одного рабочего дня с момента их обнаружения в письменном виде доводятся до Комитета государственных доходов.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Должностное лицо, находящееся на акцизном посту ведет журналы учета по формам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объемы нефтепродуктов, используемых в качестве сырья при компаундировании, отражаются в журнале движения основного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Журналы учета пронумеровываются, прошнуровываются и скрепляются подписью руководителя и печатью соответствующего органа государственных доходов.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Заключительное положение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Контроль за деятельностью акцизных постов осуществляется посредством анализа представленных данных и проведения проверок акцизных постов органами государственных доходов и Комитетом государственных доходов.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опломбирования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893"/>
        <w:gridCol w:w="1787"/>
        <w:gridCol w:w="2234"/>
        <w:gridCol w:w="1936"/>
        <w:gridCol w:w="2532"/>
        <w:gridCol w:w="2235"/>
        <w:gridCol w:w="1937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органа государственных доходов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предприятия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опломбирования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одноразовой контрольной пломбы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наложенных пломб 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работника акцизного поста 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работника акцизного поста 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предприятия 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предприятия 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(подпись)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снятия остатков отдельных видов подакцизных товаров,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основного сырья и вспомогательных материалов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"/>
        <w:gridCol w:w="736"/>
        <w:gridCol w:w="1621"/>
        <w:gridCol w:w="2063"/>
        <w:gridCol w:w="1768"/>
        <w:gridCol w:w="1916"/>
        <w:gridCol w:w="1326"/>
        <w:gridCol w:w="2358"/>
        <w:gridCol w:w="1770"/>
      </w:tblGrid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органа государственных доходов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предприятия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подакцизного товара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 сырье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Вспомогательные материалы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(для алкогольной продукции - дал, для табачных изделий - 1000 шт., для бензина и дизельного топлива - тонн)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работника акцизного поста 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работника акцизного поста 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предприятия 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представителя предприятия ____________________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(подпись)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 Отчет по объемам производства и реализации этилового спирта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(или) алкогольную продукцию (кроме виноматериала)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акцизному посту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состоянию на)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1063"/>
        <w:gridCol w:w="688"/>
        <w:gridCol w:w="688"/>
        <w:gridCol w:w="689"/>
        <w:gridCol w:w="689"/>
        <w:gridCol w:w="854"/>
        <w:gridCol w:w="1127"/>
        <w:gridCol w:w="689"/>
        <w:gridCol w:w="718"/>
        <w:gridCol w:w="1015"/>
        <w:gridCol w:w="859"/>
        <w:gridCol w:w="718"/>
        <w:gridCol w:w="608"/>
        <w:gridCol w:w="668"/>
        <w:gridCol w:w="669"/>
        <w:gridCol w:w="499"/>
        <w:gridCol w:w="575"/>
        <w:gridCol w:w="590"/>
      </w:tblGrid>
      <w:tr>
        <w:trPr>
          <w:trHeight w:val="75" w:hRule="atLeast"/>
        </w:trPr>
        <w:tc>
          <w:tcPr>
            <w:tcW w:w="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предприятия производителя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производителя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продукции на начало дня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этилового спирта алкогольной продукции в отчетном периоде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измеряющих аппаратов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 (шт.) (для алкогольной продукции разлитой в бутылки)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бутылок (для алкогольной продукции разлитой в бутылки)</w:t>
            </w:r>
          </w:p>
        </w:tc>
        <w:tc>
          <w:tcPr>
            <w:tcW w:w="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даллах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спиртоизмеряющего аппарата</w:t>
            </w:r>
          </w:p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спиртоизмеряющих аппаратов на начало дня</w:t>
            </w:r>
          </w:p>
        </w:tc>
        <w:tc>
          <w:tcPr>
            <w:tcW w:w="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спиртоизмеряющих аппаратов на конец дня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линии розлива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 СУАП на начало дня V-(литр), № 1-(бут.), № 2-(бут.)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счетчиков СУАП на конец дня V-(литр), № 1-(бут.), № 2-(бут.)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N2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6"/>
        <w:gridCol w:w="897"/>
        <w:gridCol w:w="627"/>
        <w:gridCol w:w="1573"/>
        <w:gridCol w:w="745"/>
        <w:gridCol w:w="1066"/>
        <w:gridCol w:w="1066"/>
        <w:gridCol w:w="745"/>
        <w:gridCol w:w="1219"/>
        <w:gridCol w:w="1067"/>
        <w:gridCol w:w="746"/>
        <w:gridCol w:w="898"/>
        <w:gridCol w:w="1219"/>
        <w:gridCol w:w="746"/>
      </w:tblGrid>
      <w:tr>
        <w:trPr>
          <w:trHeight w:val="7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со стороны или возврат ранее реализованной продукции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 этилового спирта и алкогольной продукции юр. или физ. лицу в отчетном периоде</w:t>
            </w:r>
          </w:p>
        </w:tc>
        <w:tc>
          <w:tcPr>
            <w:tcW w:w="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продукции на конец дня</w:t>
            </w:r>
          </w:p>
        </w:tc>
      </w:tr>
      <w:tr>
        <w:trPr>
          <w:trHeight w:val="108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прихода (со стороны или возврат)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видам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бутылок (для алкогольной продукции разлитой в бутылки)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даллах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/БИН, поставщика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или физического лица поставщика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бутылки в штуках (для алкогольной продукции разлитой в бутылки)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бутылок (для алкогольной продукции разлитой в бутылки)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даллах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получателя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или физического лица получателя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Отчет по объемам реализации бензина (за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авиационного) и дизельного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акцизному посту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(по состоянию 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1204"/>
        <w:gridCol w:w="1204"/>
        <w:gridCol w:w="1204"/>
        <w:gridCol w:w="451"/>
        <w:gridCol w:w="903"/>
        <w:gridCol w:w="903"/>
        <w:gridCol w:w="1505"/>
        <w:gridCol w:w="1505"/>
        <w:gridCol w:w="1054"/>
        <w:gridCol w:w="1205"/>
        <w:gridCol w:w="1355"/>
        <w:gridCol w:w="1206"/>
      </w:tblGrid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производителя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производителя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нефтепродукта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Пин-код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отгружено, (в тоннах)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операции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сопроводительной накладной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сопроводительной накладной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получатели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 получателя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поставки нефтепродуктов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отгрузки (ж/д, автотранспорт, трубопровод)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Журнал учета показаний приборов учета воды, электроэнергии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36"/>
        <w:gridCol w:w="884"/>
        <w:gridCol w:w="1179"/>
        <w:gridCol w:w="1031"/>
        <w:gridCol w:w="1179"/>
        <w:gridCol w:w="1179"/>
        <w:gridCol w:w="1179"/>
        <w:gridCol w:w="1621"/>
        <w:gridCol w:w="2211"/>
        <w:gridCol w:w="2212"/>
      </w:tblGrid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органа государственных доходов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налогоплательщика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приборов учета воды на начало дня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приборов учета воды по завершению дня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приборов учета электроэнергии на начало дня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приборов учета электроэнергии по завершению дня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ответственного лица производителя подакцизной продукции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лицо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Журнал учета показаний приборов учета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нефтепродуктов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893"/>
        <w:gridCol w:w="1489"/>
        <w:gridCol w:w="1191"/>
        <w:gridCol w:w="1191"/>
        <w:gridCol w:w="1638"/>
        <w:gridCol w:w="1639"/>
        <w:gridCol w:w="1788"/>
        <w:gridCol w:w="2086"/>
        <w:gridCol w:w="1788"/>
      </w:tblGrid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органа государственных доходов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налогоплательщика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продукции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приборов учета на начало дня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приборов учета по завершению дня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ответственного лица производителя подакцизной продукции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лицо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Журнал учета движения основного сырья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1768"/>
        <w:gridCol w:w="1326"/>
        <w:gridCol w:w="1473"/>
        <w:gridCol w:w="1916"/>
        <w:gridCol w:w="1474"/>
        <w:gridCol w:w="1326"/>
        <w:gridCol w:w="2211"/>
        <w:gridCol w:w="1917"/>
      </w:tblGrid>
      <w:tr>
        <w:trPr>
          <w:trHeight w:val="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основного сырья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основного сырья (тонн, дал.)</w:t>
            </w:r>
          </w:p>
        </w:tc>
        <w:tc>
          <w:tcPr>
            <w:tcW w:w="2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ответственного лица производителя подакцизной продукции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лицо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дня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за день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 в производство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конец дня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Журнал учета движения учетно-контрольных марок и акцизных марок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312"/>
        <w:gridCol w:w="1458"/>
        <w:gridCol w:w="2041"/>
        <w:gridCol w:w="2625"/>
        <w:gridCol w:w="1312"/>
        <w:gridCol w:w="2334"/>
        <w:gridCol w:w="2335"/>
      </w:tblGrid>
      <w:tr>
        <w:trPr>
          <w:trHeight w:val="30" w:hRule="atLeast"/>
        </w:trPr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учетно-контрольных марок и акцизных марок, штук</w:t>
            </w:r>
          </w:p>
        </w:tc>
        <w:tc>
          <w:tcPr>
            <w:tcW w:w="2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ответственного лица производителя подакцизной продукции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лицо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дня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 за день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Использовано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потери дня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Журнал учета движения стеклотары и кеги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1326"/>
        <w:gridCol w:w="1473"/>
        <w:gridCol w:w="2652"/>
        <w:gridCol w:w="2063"/>
        <w:gridCol w:w="1326"/>
        <w:gridCol w:w="1327"/>
        <w:gridCol w:w="1916"/>
        <w:gridCol w:w="1033"/>
      </w:tblGrid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стеклотары и кеги, штук.</w:t>
            </w:r>
          </w:p>
        </w:tc>
        <w:tc>
          <w:tcPr>
            <w:tcW w:w="1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ответственного лица производителя подакцизной продукции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лицо органа государственных доходов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дня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потери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 на производство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конец дня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акцизных постов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Журнал учета производства и реализации подакцизной продукции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1638"/>
        <w:gridCol w:w="1638"/>
        <w:gridCol w:w="893"/>
        <w:gridCol w:w="1191"/>
        <w:gridCol w:w="1340"/>
        <w:gridCol w:w="1788"/>
        <w:gridCol w:w="1192"/>
        <w:gridCol w:w="1043"/>
        <w:gridCol w:w="1490"/>
        <w:gridCol w:w="1490"/>
      </w:tblGrid>
      <w:tr>
        <w:trPr>
          <w:trHeight w:val="930" w:hRule="atLeast"/>
        </w:trPr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налогоплательщика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 реализация подакцизной продукции (для этилового спирта и алкогольной продукции - дал, для табачных изделий - 1000 шт., для бензина и дизельного топлива - тонн)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ответственного лица производителя подакцизной продукции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подпись должностного лицо органа государственных доходов</w:t>
            </w:r>
          </w:p>
        </w:tc>
      </w:tr>
      <w:tr>
        <w:trPr>
          <w:trHeight w:val="15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на начало дня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за день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Отпущено в производство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Производственные потери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Реализовано за день 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Остаток на конец дня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8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