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ca4" w14:textId="f7d4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декабря 2015 года № 332. Зарегистрировано Департаментом юстиции Жамбылской области 28 января 2016 года № 2918.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16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(зарегистрированный в Реестре государственной регистрации нормативных правовых актов под № 2711)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№332 от 31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№133 от 25 июня 2015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сфере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"Передача ребенка (детей) на патронатное воспитание" (далее – государственная услуга) оказывается отделами образования районов и города Тараз Жамбылской области (далее – услугодатель) в соответствии со стандартом государственной услуги "Передача ребенка (детей) на патронатное воспитание", утвержденным приказом Министра образования и науки Республики Казахстан от 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12366).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-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заключении договора о передаче ребенка (детей) на патронатное воспитание по форме согласно приложению 1 к стандарту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пункте 9 стандарта.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(не более 30 минут);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документов ответственному работнику (не более 2 календарных дней);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>рассмотрение документов, подготовка а</w:t>
      </w:r>
      <w:r>
        <w:rPr>
          <w:rFonts w:ascii="Times New Roman"/>
          <w:b w:val="false"/>
          <w:i w:val="false"/>
          <w:color w:val="000000"/>
          <w:sz w:val="28"/>
        </w:rPr>
        <w:t xml:space="preserve">кта обследования жилищно-бытовых условий услугополучателя и </w:t>
      </w:r>
      <w:r>
        <w:rPr>
          <w:rFonts w:ascii="Times New Roman"/>
          <w:b/>
          <w:i w:val="false"/>
          <w:color w:val="000000"/>
          <w:sz w:val="28"/>
        </w:rPr>
        <w:t>результата государственной услуги (не более 25 календарных дней);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работнику канцелярии для направления услугополучателю (не более 3 календарных дней);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(не более 20 минут)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сроков каждой процедуры (действия):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принимает документы, регистрирует и направляет руководителю услугодателя - не более 30 минут;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возвращаются услугополучателю.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о приеме соответствующих документов.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документы с резолюцией для исполнения – не более 2 календарных дней;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поступившие документы, готовит акт обследования жилищно-бытовых условий услугополучателя, затем готовит результат государственной услуги, направляет его руководителю услугодателя для подписания – не более 25 календарных дней;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для выдачи услугополучателю – не более 3 календарных дней;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выдает услугополучателю результат государственной услуги – не более 20 минут.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а также пароля;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электронной цифровой подписи для удостоверения (подписания) запроса; 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регистрация электронного документа в автоматизированном рабочем месте регионального шлюза электронного правительства;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приложенных услугополучателем документов, документам, указанным в стандарте и основаниям для оказания услуги;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442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"Передача ребенка (детей) на патронатное воспитание"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№332 от 31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№133 от 25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сфере семьи и детей"</w:t>
            </w:r>
          </w:p>
        </w:tc>
      </w:tr>
    </w:tbl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71"/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лиц, желающих усыновить детей" (далее – государственная услуга) оказывается отделами образования районов и города Тараз Жамбылской области (далее – услугодатель) в соответствии со стандартом государственной услуги "Постановка на учет лиц, желающих усыновить детей", утвержденным приказом Министра образования и науки Республики Казахстан от 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№12366). 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заключение о возможности (невозможности) быть кандидатом(ами) в усыновители по форме согласно приложению 1 к стандарту.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заключения о возможности (невозможности) быть кандидатом(ами) в усыновители по форме согласно приложению 2 к стандарту.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81"/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и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пункте 9 стандарта.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(не более 30 минут); 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документов ответственному работнику (не более 1 календарного дня);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подготовка акта обследования жилищно-бытовых условий услугополучателя по форме согласно приложению 3 к стандарту, результата государственной услуги (не более 12 календарных дней);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работнику канцелярии для направления услугополучателю (не более 2 календарных дней);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(не более 20 минут).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94"/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сроков каждой процедуры (действия):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принимает документы, регистрирует и направляет руководителю услугодателя - не более 30 минут;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возвращаются услугополучателю. 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о приеме соответствующих документов.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документы с резолюцией для исполнения – не более 1 календарного дня;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поступившие документы, готовит акт обследования жилищно-бытовых условий услугополучателя по форме согласно приложению 3 к стандарту, затем готовит результат государственной услуги, направляет его руководителю услугодателя для подписания – не более 12 календарных дней;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для выдачи услугополучателю – не более 2 календарных дней;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выдает услугополучателю результат государственной услуги не более 20 минут.</w:t>
      </w:r>
    </w:p>
    <w:bookmarkEnd w:id="107"/>
    <w:bookmarkStart w:name="z1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форме, в соответствии с приложением 1 к настоящему регламенту: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а также пароля;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электронной цифровой подписи для удостоверения (подписания) запроса; 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регистрация электронного документа в автоматизированном рабочем месте регионального шлюза электронного правительства;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приложенных услугополучателем документов, документам, указанным в стандарте и основаниям для оказания услуги;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лиц, желающих усыновить детей"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442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лиц, желающих усыновить детей"</w:t>
            </w:r>
          </w:p>
        </w:tc>
      </w:tr>
    </w:tbl>
    <w:bookmarkStart w:name="z1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9"/>
    <w:bookmarkStart w:name="z16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"Постановка на учет лиц, желающих усыновить детей"</w:t>
      </w:r>
    </w:p>
    <w:bookmarkEnd w:id="1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