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892d" w14:textId="21a8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государственном учреждении "Аппарат Шахтинского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 сессии V созыва Шахтинского городского маслихата Карагандинской области от 22 сентября 2015 года № 1184/37. Зарегистрировано Департаментом юстиции Карагандинской области 23 октября 2015 года № 3456. Утратило силу решением Шахтинского городского маслихата Карагандинской области от 18 марта 2016 года № 1271/45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18.03.2016 № 1271/45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в государственном учреждении "Аппарат Шахтинского городского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Щербаков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118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1184/37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в государственном учреждении "Аппарат Шахтинского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в государственном учреждении "Аппарат Шахтинского городского маслихата"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служащих" корпуса "Б" (далее – служащие) в государственном учреждении "Аппарат Шахтинского городского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Шахтинского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учреждения "Аппарат Шахтинского городского маслихата"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проводиться оценка, а так 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(Ф.И.О.)_________________________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