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d74de" w14:textId="f7d74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Приозерского городского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XXXX сессии Приозерского городского маслихата Карагандинской области от 25 февраля 2015 года № 40/302. Зарегистрировано Департаментом юстиции Карагандинской области 26 марта 2015 года № 3069. Утратило силу решением Приозерского городского маслихата Карагандинской области от 17 февраля 2016 года № 50/402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Приозерского городского маслихата Карагандинской области от 17.02.2016 № 50/402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 (Зарегистрирован в Министерстве юстиции Республики Казахстан 23 января 2015 года № 10130),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Приозерского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решения возложить на руководителя аппарата Приозерского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Кенесов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Сарсембеков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11406"/>
      </w:tblGrid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от 25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года № 40/302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Приозерского городского маслихата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Настоящая методика ежегодной оценки деятельности административных государственных служащих корпуса "Б" Приозерского городского маслихата разработана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Приозерского городского маслихата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руководитель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является главный специалист по управлению персоналом (кадровой службы) государственного органа.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случае, если в состав Комиссии входит непосредственный руководитель служащего, в отношении которого проводится оценка, а также служащие,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11. </w:t>
      </w:r>
      <w:r>
        <w:rPr>
          <w:rFonts w:ascii="Times New Roman"/>
          <w:b w:val="false"/>
          <w:i w:val="false"/>
          <w:color w:val="000000"/>
          <w:sz w:val="28"/>
        </w:rPr>
        <w:t>Главный специалист по управлению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Главный специалист по управлению персоналом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и направляет им оценочные листы для заполнения не позднее одного месяца до ее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Непосредственный руководитель заполняет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главного специалиста по управлению персоналом, ознакамливает служащего с заполненным оценочным листом и направляет заполненный оценочный лист главному специалисту по управлению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направления документов на заседание Комиссии. В этом случае главным специалистом по управлению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14 </w:t>
      </w:r>
      <w:r>
        <w:rPr>
          <w:rFonts w:ascii="Times New Roman"/>
          <w:b w:val="false"/>
          <w:i w:val="false"/>
          <w:color w:val="000000"/>
          <w:sz w:val="28"/>
        </w:rPr>
        <w:t>настоящей Методики, направляются главному специалисту по управлению персоналом в течение двух рабочих дней со дня их получения от главного специалиста по управлению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Главный специалист по управлению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Оценка лицами,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на анонимной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служащего вычисляется главным специалистом по управлению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21 балла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Главный специалист по управлению персоналом обеспечивает проведение заседания Комиссии по рассмотрению результатов оценки в соответствии с графиком,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Главный специалист по управлению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проект протокола заседания Комиссии с указанием итоговой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кратким пояснением в протоколе. 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Главный специалист по управлению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от ознакомления не может служить препятствием для внесения результатов оценки в его послужной список. В этом случае главным специалистом по управлению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 вносятся в послужные списки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главного специалиста по управлению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25. </w:t>
      </w:r>
      <w:r>
        <w:rPr>
          <w:rFonts w:ascii="Times New Roman"/>
          <w:b w:val="false"/>
          <w:i w:val="false"/>
          <w:color w:val="000000"/>
          <w:sz w:val="28"/>
        </w:rPr>
        <w:t>Обжалование решения Комиссии служащим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27. </w:t>
      </w:r>
      <w:r>
        <w:rPr>
          <w:rFonts w:ascii="Times New Roman"/>
          <w:b w:val="false"/>
          <w:i w:val="false"/>
          <w:color w:val="000000"/>
          <w:sz w:val="28"/>
        </w:rPr>
        <w:t>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9807"/>
      </w:tblGrid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корпуса "Б" Приозерского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Ф.И.О. оцениваемого служащего:_______________________________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Должность оцениваемого служащего: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0"/>
        <w:gridCol w:w="2451"/>
        <w:gridCol w:w="5043"/>
        <w:gridCol w:w="218"/>
        <w:gridCol w:w="218"/>
      </w:tblGrid>
      <w:tr>
        <w:trPr>
          <w:trHeight w:val="30" w:hRule="atLeast"/>
        </w:trPr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 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 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 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3"/>
        <w:gridCol w:w="9807"/>
      </w:tblGrid>
      <w:tr>
        <w:trPr>
          <w:trHeight w:val="30" w:hRule="atLeast"/>
        </w:trPr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методике ежегодной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корпуса "Б" Приозерского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Ф.И.О. оцениваемого служащего:_______________________________________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528"/>
        <w:gridCol w:w="4263"/>
        <w:gridCol w:w="2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Приозерского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5"/>
        <w:gridCol w:w="3697"/>
        <w:gridCol w:w="2153"/>
        <w:gridCol w:w="1382"/>
        <w:gridCol w:w="1383"/>
      </w:tblGrid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</w:t>
      </w:r>
      <w:r>
        <w:rPr>
          <w:rFonts w:ascii="Times New Roman"/>
          <w:b w:val="false"/>
          <w:i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Комиссии:__________________________ Дата: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Комиссии:_______________________ Дата: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Член Комиссии:______________________________ Дата:_________________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