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aca7" w14:textId="f4da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Аулиеколь"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165. Зарегистрировано Департаментом юстиции Костанайской области 26 июня 2015 года № 5685.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Аулиеколь".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Аулиеколь"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Аулиеколь"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Аулиеколь"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Аулиеколь"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Аулиеколь"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Аулиеколь"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Аулиеколь"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Аулиеколь"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Аулиеколь"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110400, Республика Казахстан, Костанайская область, Аулиекольский район, село Аулиеколь, улица Байтурсынова,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села Аулиеколь".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Аулиеколь".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Аулиеколь"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Аулиеколь"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Аулиеколь".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Аулиеколь"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Аулиеколь"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Аулиеколь" является 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села Аулиеколь;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содействует исполнению гражданами и юридическими лицами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села Аулиеколь;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села Аулиеколь;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Аулиеколь"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Аулиеколь" осуществляется акимом села, который несет персональную ответственность за выполнение возложенных на государственное учреждение "Аппарат акима села Аулиеколь"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села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села Аулиеколь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села Аулиеколь;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привлекает к дисциплинарной ответственности работников в соответствии с законодательством о государственной службе 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села Аулиеколь;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села Аулиеколь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села Аулиеколь"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села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Аулиеколь"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Аулиеколь"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Аулиеколь"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села Аулиеколь",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села Аулиеколь"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села Аулиеколь"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села Аулиеколь"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