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15a8" w14:textId="8371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4 июня 2015 года № 284. Зарегистрировано Департаментом юстиции Костанайской области 9 июля 2015 года № 5746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Костанайского района Махмутову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арендной платы за пользованием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Костанайского района Костанайской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13.04.2016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Поселок Затобольск, улица Школьная, дом 40/3, квартира 10, в размере 13,2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Поселок Затобольск, микрорайон Дорожник, дом 14, квартира 1, в размере 101,31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Поселок Затобольск, улица 40 лет Октября, дом 14 А, квартира 5, в размере 4,5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Поселок Затобольск, улица Семина, дом 15, квартира 27, в размере 1,8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Поселок Затобольск, микрорайон Водник, дом 17, квартира 2, в размере 24,1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Поселок Затобольск, микрорайон Водник, дом 17, квартира 1, в размере 24,1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Поселок Затобольск, микрорайон Водник, дом 17, квартира 3, в размере 24,1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Село Заречное, улица Ленина, дом 9, квартира 23, в размере 40,7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Село Заречное, улица Юбилейная, дом 7, квартира 38, в размере 72,5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Село Садовое, улица Магистральная, дом 3, квартира 9, в размере 7,7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поселок Затобольск, микрорайон Нурай, дом 1, в размере 45 тенге за один квадратный метр общей площади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поселок Затобольск, микрорайон Нурай, дом 2, в размере 50 тенге за один квадратный метр общей площади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поселок Затобольск, микрорайон Нурай, дом 6, в размере 72 тенге за один квадратный метр общей площади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