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cbc2" w14:textId="8a8c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Ульяновского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13 октября 2015 года № 550. Зарегистрировано Департаментом юстиции Костанайской области 5 ноября 2015 года № 5980.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Ульяновского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13 октября 2015 года № 550</w:t>
            </w:r>
          </w:p>
        </w:tc>
      </w:tr>
    </w:tbl>
    <w:bookmarkStart w:name="z39"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Ульяновского сельского округа</w:t>
      </w:r>
      <w:r>
        <w:br/>
      </w:r>
      <w:r>
        <w:rPr>
          <w:rFonts w:ascii="Times New Roman"/>
          <w:b/>
          <w:i w:val="false"/>
          <w:color w:val="000000"/>
        </w:rPr>
        <w:t>Костанайского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Ульяновского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Ульяновского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Ульяновского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Ульяновского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Ульяновского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Ульяновского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Ульяновского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Ульяновского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111121 Республика Казахстан, Костанайская область, Костанайский район, село Ульяновское, улица Ленина, дом 15.</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Ульяновского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Ульяновского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Ульяновского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Ульяновского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Ульяновского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Ульяновского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w:t>
      </w:r>
      <w:r>
        <w:rPr>
          <w:rFonts w:ascii="Times New Roman"/>
          <w:b w:val="false"/>
          <w:i w:val="false"/>
          <w:color w:val="000000"/>
          <w:sz w:val="28"/>
        </w:rPr>
        <w:t>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Ульяновского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 xml:space="preserve">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2)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4)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6)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7) содействие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Ульяновского сельского округа Костанайского района" осуществляется акимом Ульяновского сельского округа, который несет персональную ответственность за выполнение возложенных на государственное учреждение "Аппарат акима Ульяновского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Ульяновского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"Аппарат акима Ульяновского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5) в пределах компетенции распоряжается денежными средствами государственного учреждения "Аппарат акима Ульяновского сельского округа Костанайского района", подписывает финансовые документы;</w:t>
      </w:r>
      <w:r>
        <w:br/>
      </w:r>
      <w:r>
        <w:rPr>
          <w:rFonts w:ascii="Times New Roman"/>
          <w:b w:val="false"/>
          <w:i w:val="false"/>
          <w:color w:val="000000"/>
          <w:sz w:val="28"/>
        </w:rPr>
        <w:t>
      </w:t>
      </w:r>
      <w:r>
        <w:rPr>
          <w:rFonts w:ascii="Times New Roman"/>
          <w:b w:val="false"/>
          <w:i w:val="false"/>
          <w:color w:val="000000"/>
          <w:sz w:val="28"/>
        </w:rPr>
        <w:t>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Ульяновского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Ульяновского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Ульяновского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Ульяновского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Ульяновского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