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5b12" w14:textId="0f45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26 декабря 2014 года № 299 "О районном бюджете Федоровского района на 2015 – 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20 марта 2015 года № 315. Зарегистрировано Департаментом юстиции Костанайской области 26 марта 2015 года № 5452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Федоровский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26 декабря 2014 года № 299 «О районном бюджете Федоровского района на 2015-2017 годы» (зарегистрировано в Реестре государственной регистрации нормативных правовых актов за номером 5280, опубликовано 5 февраля 2015 года в газете «Федоровские новости»)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1. Утвердить районный бюджет Федоровского района на 2015-2017 годы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3352312,3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740955,0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3358,0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2605384,3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3352430,7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30064,5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45864,5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15800,0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-30182,9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30182,9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2-1. Учесть, что в бюджете района на 2015 год предусмотрены расходы за счет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подразделений местных исполнительных органов агропромышленного комплекса в сумме 2072,0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штатной численности отделов регистрации актов гражданского состояния в сумме 1092,0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счет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ребенка (детей), переданного патронатным воспитателям в связи с передачей функций по оплате труда патронатным воспитателям путем перечисления денежных средств на его текущий счет в сумме 660,9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в сумме 596,4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оплату широкополосного Интернета в рамках программы системы электронного обучения в сумме 3252,0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городов и сельских населенных пунктов в рамках Дорожной карты занятости 2020 в сумме 7307,0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приложением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 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 2-2. Принять к исполнению перечень бюджетных программ об использовании (доиспользовании) в 2015 году неиспользованных (недоиспользованных) сумм целевых трансфертов на развитие, выделенных из республиканского бюджета в 2014 году согласно приложению 6 к настоящему решению.»;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Б. Бекенов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Федоровского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 В. Гринак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 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2015 года № 315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299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Федоровского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528"/>
        <w:gridCol w:w="786"/>
        <w:gridCol w:w="786"/>
        <w:gridCol w:w="6641"/>
        <w:gridCol w:w="256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3352312,3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740955,0</w:t>
            </w:r>
          </w:p>
        </w:tc>
      </w:tr>
      <w:tr>
        <w:trPr>
          <w:trHeight w:val="19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381689,0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381689,0</w:t>
            </w:r>
          </w:p>
        </w:tc>
      </w:tr>
      <w:tr>
        <w:trPr>
          <w:trHeight w:val="15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183520,0</w:t>
            </w:r>
          </w:p>
        </w:tc>
      </w:tr>
      <w:tr>
        <w:trPr>
          <w:trHeight w:val="2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183520,0</w:t>
            </w:r>
          </w:p>
        </w:tc>
      </w:tr>
      <w:tr>
        <w:trPr>
          <w:trHeight w:val="1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147917,0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61510,0</w:t>
            </w:r>
          </w:p>
        </w:tc>
      </w:tr>
      <w:tr>
        <w:trPr>
          <w:trHeight w:val="25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9134,0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52683,0</w:t>
            </w:r>
          </w:p>
        </w:tc>
      </w:tr>
      <w:tr>
        <w:trPr>
          <w:trHeight w:val="7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24590,0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23214,0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13314,0</w:t>
            </w:r>
          </w:p>
        </w:tc>
      </w:tr>
      <w:tr>
        <w:trPr>
          <w:trHeight w:val="138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4615,0</w:t>
            </w:r>
          </w:p>
        </w:tc>
      </w:tr>
      <w:tr>
        <w:trPr>
          <w:trHeight w:val="2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4615,0</w:t>
            </w:r>
          </w:p>
        </w:tc>
      </w:tr>
      <w:tr>
        <w:trPr>
          <w:trHeight w:val="34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3358,0</w:t>
            </w:r>
          </w:p>
        </w:tc>
      </w:tr>
      <w:tr>
        <w:trPr>
          <w:trHeight w:val="22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60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находящегося в государственной собственности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858,0</w:t>
            </w:r>
          </w:p>
        </w:tc>
      </w:tr>
      <w:tr>
        <w:trPr>
          <w:trHeight w:val="27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2615,0</w:t>
            </w:r>
          </w:p>
        </w:tc>
      </w:tr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2615,0</w:t>
            </w:r>
          </w:p>
        </w:tc>
      </w:tr>
      <w:tr>
        <w:trPr>
          <w:trHeight w:val="31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2615,0</w:t>
            </w:r>
          </w:p>
        </w:tc>
      </w:tr>
      <w:tr>
        <w:trPr>
          <w:trHeight w:val="4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2605384,3</w:t>
            </w:r>
          </w:p>
        </w:tc>
      </w:tr>
      <w:tr>
        <w:trPr>
          <w:trHeight w:val="705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2605384,3</w:t>
            </w:r>
          </w:p>
        </w:tc>
      </w:tr>
      <w:tr>
        <w:trPr>
          <w:trHeight w:val="36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2605384,3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493"/>
        <w:gridCol w:w="753"/>
        <w:gridCol w:w="733"/>
        <w:gridCol w:w="6975"/>
        <w:gridCol w:w="23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3352430,7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292091,7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248426,0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73026,0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2646,0</w:t>
            </w:r>
          </w:p>
        </w:tc>
      </w:tr>
      <w:tr>
        <w:trPr>
          <w:trHeight w:val="4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161468,0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161360,0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43185,7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13447,0</w:t>
            </w:r>
          </w:p>
        </w:tc>
      </w:tr>
      <w:tr>
        <w:trPr>
          <w:trHeight w:val="8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13447,0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8887,1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8887,1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22851,6</w:t>
            </w:r>
          </w:p>
        </w:tc>
      </w:tr>
      <w:tr>
        <w:trPr>
          <w:trHeight w:val="18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18851,6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3712,0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3712,0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1564038,1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224341,6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224341,6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43492,8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180848,8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1247984,5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16522,5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16552,5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1196421,0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1142992,0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53429,0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35041,0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35041,0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91712,0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91712,0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12717,6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17791,0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(детей–сирот), и ребенка (детей), оставшегося без попечения родителей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109017,8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660,9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72378,8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72378,8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9355,0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16942,0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16313,8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35978,1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35978,1</w:t>
            </w:r>
          </w:p>
        </w:tc>
      </w:tr>
      <w:tr>
        <w:trPr>
          <w:trHeight w:val="11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15322,1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20298,0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939668,8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57852,8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7307,0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48545,8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строительство, реконструкция жилья коммунального жилищного 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779165,0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779165,0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779165,0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102651,0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102651,0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79664,0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152435,3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57928,0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57928,0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57928,0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18144,0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17644,0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6737,0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</w:p>
        </w:tc>
      </w:tr>
      <w:tr>
        <w:trPr>
          <w:trHeight w:val="10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3599,0</w:t>
            </w:r>
          </w:p>
        </w:tc>
      </w:tr>
      <w:tr>
        <w:trPr>
          <w:trHeight w:val="8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3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51003,0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48703,0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43895,3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4807,7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25360,3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9762,5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8382,5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1380,0</w:t>
            </w:r>
          </w:p>
        </w:tc>
      </w:tr>
      <w:tr>
        <w:trPr>
          <w:trHeight w:val="6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15597,8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7695,8</w:t>
            </w:r>
          </w:p>
        </w:tc>
      </w:tr>
      <w:tr>
        <w:trPr>
          <w:trHeight w:val="4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1970,0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65392,4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23821,4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11874,0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11947,4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6532,4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32710,0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10829,0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10829,0</w:t>
            </w:r>
          </w:p>
        </w:tc>
      </w:tr>
      <w:tr>
        <w:trPr>
          <w:trHeight w:val="19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10829,0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188060,0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188060,0</w:t>
            </w:r>
          </w:p>
        </w:tc>
      </w:tr>
      <w:tr>
        <w:trPr>
          <w:trHeight w:val="8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185560,0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125821,0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59739,0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27113,0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27113,0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</w:p>
        </w:tc>
      </w:tr>
      <w:tr>
        <w:trPr>
          <w:trHeight w:val="8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25113,0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72,6</w:t>
            </w:r>
          </w:p>
        </w:tc>
      </w:tr>
      <w:tr>
        <w:trPr>
          <w:trHeight w:val="1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30064,5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45864,5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45864,5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45864,5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45864,5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45864,5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Дефицит, профицит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-30182,9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30182,9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45864,5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45864,5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45864,5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45864,5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15800,0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118,4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118,4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2015 года № 315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декабря 2014 года № 299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использовании (доиспользовании)</w:t>
      </w:r>
      <w:r>
        <w:br/>
      </w:r>
      <w:r>
        <w:rPr>
          <w:rFonts w:ascii="Times New Roman"/>
          <w:b/>
          <w:i w:val="false"/>
          <w:color w:val="000000"/>
        </w:rPr>
        <w:t>
в 2015 году неиспользованных (недоиспользованных)</w:t>
      </w:r>
      <w:r>
        <w:br/>
      </w:r>
      <w:r>
        <w:rPr>
          <w:rFonts w:ascii="Times New Roman"/>
          <w:b/>
          <w:i w:val="false"/>
          <w:color w:val="000000"/>
        </w:rPr>
        <w:t>
сумм целевых трансфертов на развитие, выделенных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в 2014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"/>
        <w:gridCol w:w="644"/>
        <w:gridCol w:w="731"/>
        <w:gridCol w:w="753"/>
        <w:gridCol w:w="731"/>
        <w:gridCol w:w="5883"/>
        <w:gridCol w:w="26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разрешенная к использованию (доиспользованию) в 2015 году, тысяч тенге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45,8</w:t>
            </w:r>
          </w:p>
        </w:tc>
      </w:tr>
      <w:tr>
        <w:trPr>
          <w:trHeight w:val="30" w:hRule="atLeast"/>
        </w:trPr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