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8cbe" w14:textId="b548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20 марта 2015 года N 75. Зарегистрировано Департаментом юстиции Северо-Казахстанской области 20 марта 2015 года N 3175. Утратило силу постановлением акимата Мамлютского района Северо-Казахстанской области от 27 июля 2015 года N 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Мамлютского района Северо-Казахстанской области от 27.07.2015 </w:t>
      </w:r>
      <w:r>
        <w:rPr>
          <w:rFonts w:ascii="Times New Roman"/>
          <w:b w:val="false"/>
          <w:i w:val="false"/>
          <w:color w:val="ff0000"/>
          <w:sz w:val="28"/>
        </w:rPr>
        <w:t>N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Мамлютского района Северо-Казахстанской области Габбасова Р.А.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3.Настоящее постановление вводится в действие по истечении десяти дней со дня его первого официального опубликования и распространяется на правоотношения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Мамлютского района от 20 марта 2015 г. № 75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расчета ставки арендной платы при передаче районного коммунального имущества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и определяют правила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Ап = Рбс х S х Кт х Кк х Кск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Расчет арендной платы за имущественный наем (аренду) автотранспортных средств, оборудования и иного имущества районной коммунальной собственности, за исключением объектов государственного нежилого фонда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Годовая арендная плата за имущественный наем (аренду) автотранспортных средств, оборудования и иного имущества районной коммунальной собственности, за исключением объектов государственного </w:t>
      </w:r>
      <w:r>
        <w:rPr>
          <w:rFonts w:ascii="Times New Roman"/>
          <w:b w:val="false"/>
          <w:i w:val="false"/>
          <w:color w:val="000000"/>
          <w:sz w:val="28"/>
        </w:rPr>
        <w:t>нежилого помещения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       Ар – ставка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– базовая ставка аренды в год, принимаемая равной С = (Sбал. х N аморт.),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 S бал. – первоначальная стоимость сдаваемого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аморт. – годовая норма износа, определяется на основании предельных норм амортизации фиксированных активов согласно Налоговому кодексу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К1- Коэффициент, учитывающий срок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К2- Коэффициент, учитывающий условия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 случае отсутствия коэффициента в таблице, принимается коэффициент равный 1,0.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Правилам расчета ставки арендной платы при передаче районного коммунального имущества в имущественный наем (аренду)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районного коммунального имущества в имущественный наем (аренду)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8802"/>
        <w:gridCol w:w="3050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офисное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строящее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степень комфортности (Кск)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для помещений со всеми инженерно-техническими устройствами (электрическая энергия, канализация, водоснабжение, отопление)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каких-либо видов коммуникаций уменьшается на 0,1 за каждый отсутствующий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коммуникационных услуг, в том числе услуг связи, автоматизированных телефонных станций, для расчетно-кассовых центров банков, АО "Казпочта"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услуг в области образования (внешкольная, кружковая деятельность для учащихся, компьютерные 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гостиничных услуг, торговой или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общественного питания в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услуг в области здравоохранения,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для видов деятельности, за исключением видов деятельности, указанных в пунктах 5.1-5.7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для благотворительных и общественных организаций, некоммерческих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для остальных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Правилам расчета ставки арендной платы при передаче районного коммунального имущества в имущественный наем (аренду)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7615"/>
        <w:gridCol w:w="3116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срок эксплуатации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от 1 года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свыше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иное имущество.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от 1 года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свыше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условия эксплуатации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средства, оборудование и иного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на территории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на остальной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