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aa6" w14:textId="939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ноября 2015 года № 308. Зарегистрировано Департаментом юстиции Атырауской области 10 декабря 2015 года № 3389.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Атырауского городского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Атырауского городского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городского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19 октября 2015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19 октября 2015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городского маслихата Атырауской области от 16.01.2023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Атырауского городского местного бюджета проживающим в городе Атырау,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3 (три) процентов.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Атырауского городского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"Атырауский городской отдел занятости, социальных программ и регистрации актов гражданского состояния" (далее – уполномоченный орган).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Атырауского городского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Атырауского городского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Уполномоченный орган отказывает в предоставлении жилищной помощи в порядке и сроки, установленные уполномоченным органом, осуществляется руководство и межотраслевую координацию в сфере жилищных отношений и жилищно-коммунального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4-1 в соответствии с решением Атырауского городского маслихата Атырауской области от 17.08.2023 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 один раз в квартал,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ежемесячно до 10 числа месяца, следующего за месяцем назначения.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