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a0de" w14:textId="09da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19 ноября 2015 года № 307. Зарегистрировано Департаментом юстиции Атырауской области 11 декабря 2015 года № 3390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Атырауского городского маслихата Атырауской области от 14.04.2023 №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11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маслихата города Атырау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Атырау,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Атырауского городского маслихата Атырауской области от 14.04.2023 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Атырауского городского маслихата Атырауской области от 14.04.2023 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(Б. Шеркешбаева) по вопросам социальной защиты населения, здравоохранения, образования, культуры, по делам молодежи и спорта, по делам женщин и семейно-демографической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ХХХVIІІ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307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Атырау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Атырауского городского маслихата Атырауской области от 14.04.2023 №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Атырау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"Атырауский городской отдел занятости и социальных программ" акимата города Атырау на основании справки из учебного заведения, подтверждающей факт обучения ребенка с инвалидностью на дому.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города Атырау Атырауской области от 12.04.2024 №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на дому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равен 5 (пяти) месячному расчетному показателю ежемесячно на каждого ребенка с инвалидностью в течение учебного года.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