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f773" w14:textId="ba7f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"Курмангазинский районный отдел внутренней политики, культуры и развития языков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19 мая 2015 года № 247. Зарегистрировано Департаментом юстиции Атырауской области 22 мая 2015 года № 3211. Утратило силу постановлением Курмангазинского районного акимата Атырауской области от 08 июля 2016 года № 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Курмангазинского районного акимата Атырауской области от 08.07.2016 № </w:t>
      </w:r>
      <w:r>
        <w:rPr>
          <w:rFonts w:ascii="Times New Roman"/>
          <w:b w:val="false"/>
          <w:i w:val="false"/>
          <w:color w:val="ff0000"/>
          <w:sz w:val="28"/>
        </w:rPr>
        <w:t>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"О мерах по разграничению полномочий между уровнями государственного управления Республики Казахстан"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"Курмангазинский районный отдел внутренней политики, культуры и развития языков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государственного учреждения "Аппарат акима Курмангазинского района"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Курмангазинского района от "19" мая 2015 года № 247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"Курмангазинский районный отдел внутренней политики, культуры и развития языков Атырауской области" - (далее - Отдел) является государственным органом Республики Казахстан ведущую единую государственную политику и осуществляющая руководство в сферах, культуры и развития языков по Курмангазинскому районному.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Республика Казахстан, индекс 060400, Атырауская область, Курмангазинский район, село Ганюшкино, улица С.Кушекбаева, дом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– государственное учреждение "Курмангазинский районный отдел внутренней политики, культуры и развития языков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Миссия: осуществляет реализацию ведение единой государственной политики и осуществления руководства в сферах,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по обеспечению общественно – политической стабильности, укрепление государственного суверенитета, демократизация общественных процессов и консолидация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реализации исполнения в регионе местными органами государственного управления внутренней политики государства в соответствии с действующим законодательством Республики Казахстан,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сфере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языковой политики государства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иные задачи,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укреплении демократических институтов общества, разъяснение и пропаганда основных приоритетов Стратегии развития Казахстана до 2030 года, ежегодных Посланий главы государства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всестороннее и объективное изучение, обобщение и анализ происходящих в регионе общественно – 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информационной политики на региональном уровне, координация деятельности местных средств массовой информации по выполнению государственного заказа, по ее проведению, осуществление мониторинга печатных и электронных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социологических и политологических исследований, направленных на прогноз общественно - политической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работы по связям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мониторинга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работы по исполнению Конституционного Закона Республики Казахстан "О государственных символах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взаимодействие и координацию работы детских молодежных организаций, досуговых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за реализацией молодежной политики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связей с политическими партиями, национально – культурными объединениями, правозащитными, религиозными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аттестацию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поддерживает и оказывает содействие в материально-техническом обеспечении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и вносить в установленном порядке проекты по вопросам развития сферы внутренней политики, культуры и развития языков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от государственных органов, иных организаций, должностных лиц и граждан, необходимую информацию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соблюдать Конституцию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допускать принятия решений, не соответствующих общегосударственной внутренней и внешней политике, в том числе финансовой и инвестиционной;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допускать принятия решений, препятствующих формированию единого рынка труда, капитала, свободному обмену товарами и услугами, формированию и развитию единого культурного и информационного пространства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соблюдать интересы Республики Казахстан в обеспечении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соблюдать общегосударственные стандарты, устанавливаемые в общественно значимых сферах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 и обязанности,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отчитывается о результатах своей деятельности перед акиматом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Отдела назначается на должность и освобождается от должности акимом Курмангазинского района в соответствий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государственных служащих своего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Республики Казахстан принимает решение поощрения, оказание материальной помощи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