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e791" w14:textId="19be7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государственного учреждения "Аппарат Курмангазинского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4 ноября 2015 года № 461-V. Зарегистрировано Департаментом юстиции Атырауской области 30 ноября 2015 года № 3360. Утратило силу решением Курмангазинского районного маслихата Атырауской области от 13 января 2016 года № 494-V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 xml:space="preserve">Сноска. </w:t>
      </w:r>
      <w:r>
        <w:rPr>
          <w:rFonts w:ascii="Times New Roman"/>
          <w:b w:val="false"/>
          <w:i/>
          <w:color w:val="000000"/>
          <w:sz w:val="28"/>
        </w:rPr>
        <w:t>Утратило силу решением Курмангазинскогос районного маслихата Атырауской области от 13</w:t>
      </w:r>
      <w:r>
        <w:rPr>
          <w:rFonts w:ascii="Times New Roman"/>
          <w:b w:val="false"/>
          <w:i/>
          <w:color w:val="000000"/>
          <w:sz w:val="28"/>
        </w:rPr>
        <w:t>.01.</w:t>
      </w:r>
      <w:r>
        <w:rPr>
          <w:rFonts w:ascii="Times New Roman"/>
          <w:b w:val="false"/>
          <w:i/>
          <w:color w:val="000000"/>
          <w:sz w:val="28"/>
        </w:rPr>
        <w:t xml:space="preserve">2016 № </w:t>
      </w:r>
      <w:r>
        <w:rPr>
          <w:rFonts w:ascii="Times New Roman"/>
          <w:b w:val="false"/>
          <w:i w:val="false"/>
          <w:color w:val="000000"/>
          <w:sz w:val="28"/>
        </w:rPr>
        <w:t>494-V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ежегодной оценки деятельности и аттестации административных государственных служащих,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 (зарегистрировано в реестре государственной регистрации нормативных правовых актов за № 10130, опубликовано в информационно-правовой системе "Әділет" 20 марта 2015 года)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государственного учреждения "Аппарат Курмангазинского районного маслихата" (далее - Методика)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аппарата Курмангазинского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ХХХХІІ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Султанияев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решением районного маслихата от 4 ноября 2015 года № 461-V </w:t>
            </w:r>
          </w:p>
        </w:tc>
      </w:tr>
    </w:tbl>
    <w:bookmarkStart w:name="z1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" государственного учреждения "Аппарат Курмангазинского районного маслихата"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аппарата районного маслихата (далее - Методика) разработана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аппарата районного маслихата (далее -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ежегодной оценке деятельности административных государственных служащих корпуса "Б" аппарата районного маслихата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руководитель аппарата районного маслихата. Секретарем Комиссии является сотрудник аппарата районного маслихата.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Секретарь Комисии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Комисии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и направляет им оценочные листы для заполнения не позднее одного месяца до ее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секретаря Комисии, ознакамливает служащего с заполненным оценочным листом и направляет заполненный оценочный лист секретарю Комисии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секретарем Комисии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секретарем Комиссии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секретарю Комисии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Секретарь Комисии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секретарем Комисии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Секретарь Комисии обеспечивает проведение заседания Комиссии по рассмотрению результатов оценки в соответствии с графиком,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Комисии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при допущении ошибки при расчете результата оценки служащего.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Секретарь Комисии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секретарем Комисии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Агентства Республики Казахстан по делам государственной службы и противодействию коррупции по Атырауской области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Агентства Республики Казахстан по делам государственной службы и противодействию коррупции по Атырауской области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 Агентства Республики Казахстан по делам государственной службы и противодействию коррупции по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ежегодной оценки деятельности административных государственных служащих корпуса "Б" государственного учреждения "Аппарат Курмангазинского районного маслихата"</w:t>
            </w:r>
          </w:p>
        </w:tc>
      </w:tr>
    </w:tbl>
    <w:bookmarkStart w:name="z18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 (сумма всех оценок):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Ознакомлен(а):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Служащий Непосредственный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________ Ф.И.О. (при его наличии)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 дата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 подпись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Полное написание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Ф.И.О.- Фамилия, Имя, Отчество.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ежегодной оценки деятельности административных государственных служащих корпуса "Б" государственного учреждения "Аппарат Курмангазинского районного маслихата"</w:t>
            </w:r>
          </w:p>
        </w:tc>
      </w:tr>
    </w:tbl>
    <w:bookmarkStart w:name="z19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Полное написание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Ф.И.О.- Фамилия, Имя, Отчество.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ежегодной оценки деятельности административных государственных служащих корпуса "Б" государственного учреждения "Аппарат Курмангазинского районного маслихата"</w:t>
            </w:r>
          </w:p>
        </w:tc>
      </w:tr>
    </w:tbl>
    <w:bookmarkStart w:name="z2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2"/>
        <w:gridCol w:w="6234"/>
        <w:gridCol w:w="1665"/>
        <w:gridCol w:w="1069"/>
        <w:gridCol w:w="1070"/>
      </w:tblGrid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Полное написание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Ф.И.О.- Фамилия, Имя, Отчество.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