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ba8b" w14:textId="9f1b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"Предоставление водных объектов в обособленное или совместное пользование на конкурсной основе"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3 декабря 2015 года № 367. Зарегистрировано Департаментом юстиции Южно-Казахстанской области 31 декабря 2015 года № 3505.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"Предоставление водных объектов в обособленное или совместное пользование на конкурсной основе"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Каныбекова С.А.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от "03"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367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Туркестанской области от 30.10.2019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(далее- государственная услуга) оказывается государственным учреждением "Управление природных ресурсов и регулирования природопользования Туркестанской области"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– Государственная корпорация).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положительное заключение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(либо его представителя по доверенности), в том числе лица, имеющие льготы, является заявление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в течение 15 (пятнадцати) минут принимает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услугодателю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с момента получения необходимых документов осуществляет их регистрацию и направляет документы на резолюцию руководителя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передает их руководителю отдела услугодателя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и передает их специалисту отдела услугодателя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 услугодателя рассматривает документы и подготавливает заключение о выдаче разрешения в течение 26 (двадцати шести)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разрешение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регистрирует разрешение и направляет его в Государственную корпорацию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выдает услугополучателю результат оказания государственной услуги.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единицы: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граждан, а также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(либо его представитель по доверенности), в том числе лица, имеющие льготы, сдают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принимает документы, в установленном порядке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регламента, готовит результат оказания государственной услуги и направляет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выдает услугополучателю результат оказания государственной услуги.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питьевого качества для целей, не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питьевым и хозяйственно-бытовым водоснабжением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территориях, где отсутствуют поверхностные 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но имеются достаточные запасы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питьевого качества"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декабря 2015 года № 367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 объектов в обособленное или совместное пользование на конкурсной основе"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Туркестанской области от 30.10.2019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 оказывается государственным учреждением "Управление природных ресурсов и регулирования природопользования Туркестанской области" и отраслевыми отделами акиматов городов и районов Туркестанской области, осуществляющие функции в сфере водного хозяйства (далее - услугодатель).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– Государственная корпорация).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представлении водного объекта в обособленное или совместное пользование между местными исполнительными органами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пользование на конкурсной основе"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фонда".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(либо его представителя по доверенности), в том числе лица, имеющие льготы, является заявление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 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в течение 15 (пятнадцати) минут принимает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услугодателю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регистрирует полученные документы и направляет документы на резолюцию руководителя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30 (тридцати) минут ознакамливается с документами и направляет документы специалисту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услугодателя предоставляет поступившие документы на рассмотрение конкурсной комиссии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 рассматривает конкурсные заявки и определяет победителя конкурса в течение 15 (пятнадцати)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конкурсной комиссии подготавливает протокол об итогах конкурса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основании протокола конкурсной комиссии услугодатель подготавливает проект постановления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области (далее – МИО) принимает постановление в течение 5 (пяти) рабочих дней и направляет услугодателю для подготовления проекта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отдела услугодателя составляет проект договора в течение 10 (десяти)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услугодатель и услугополучатель в течение 1 (одного) рабочего дня заключают договор о предоставлении водного объекта в обособленное или совместное 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канцелярия услугодателя регистрирует и передает договор в Государственную корпорацию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работник Государственной корпорации выдает услугополучателю результат оказания государственной услуги.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процессе оказания государственной услуги участвуют следующие единицы: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МИО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услугодателя.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граждан", а также порядка использования информационных систем в процессе оказания государственной услуги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(либо его представитель по доверенности), в том числе лица, имеющие льготы, сдают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принимает документы, в установленном порядке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регламента, готовит результат оказания государственной услуги и направляет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выдает услугополучателю результат оказания государственной услуги.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обособленное или совместное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конкурсной основе"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водных объектов в обособленное или совместное пользование на конкурсной основе"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