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9120" w14:textId="c679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 ноября 2015 года № 459. Зарегистрировано Департаментом юстиции Южно-Казахстанской области 30 ноября 2015 года № 3445. Утратило силу постановлением акимата Байдибекского района Южно-Казахстанской области от 29 марта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29.03.2016 № 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Байдибек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Байдибекского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Айтбекова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1 к постановлениию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Туйетас в общую средную школу имени "Домалак ана" села Амансай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Алгабас и Жулдыз в общую средную школу "Майбулак" села Майбулак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3 к постановлениию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Кызылжар сельского округа Жамбыл в общую средную школу "Кызылжар" в селе Кызылжар сельского округа Торткуль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459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Байдибекского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Байдибекского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Маршруты регулярных перевозок детей организовываются,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автобусов, микроавтобусов по определенным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Влажная уборка салонов автобусов и микроавтобусов, используемых при регулярных автомобильных перевозках детей,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Наружная мойка кузова проводится после окончания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Перевозка детей осуществляется автобусами, микроавтобусами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