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05a7" w14:textId="70a0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Толебийского районного маслихата от 24 декабря 2013 года № 26/119-V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Толебийского районного маслихата Южно-Казахстанской области от 27 марта 2015 года № 40/191-V. Зарегистрировано Департаментом юстиции Южно-Казахстанской области 28 апреля 2015 года № 3162. Утратило силу решением Толебийского районного маслихата Южно-Казахстанской области от 19 июня 2015 года № 41/200-V</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Толебийского районного маслихата Южно-Казахстанской области от 19.06.2015 № 41/200-V.</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Толебийский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Толебийского районного маслихата от 24 декабря 2013 года № 26/119-V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2493, опубликовано 25 января 2014 года в газете «Ленгер жаршысы»)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Социальная помощь предоставляется в следующие праздничные дни:</w:t>
      </w:r>
      <w:r>
        <w:br/>
      </w:r>
      <w:r>
        <w:rPr>
          <w:rFonts w:ascii="Times New Roman"/>
          <w:b w:val="false"/>
          <w:i w:val="false"/>
          <w:color w:val="000000"/>
          <w:sz w:val="28"/>
        </w:rPr>
        <w:t>
      1) 8 марта – «Международный женский день» -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r>
        <w:br/>
      </w:r>
      <w:r>
        <w:rPr>
          <w:rFonts w:ascii="Times New Roman"/>
          <w:b w:val="false"/>
          <w:i w:val="false"/>
          <w:color w:val="000000"/>
          <w:sz w:val="28"/>
        </w:rPr>
        <w:t>
      2) 21-23 марта (Наурыз мейрамы) - Семьи погибших военнослужащих,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2 кратного месячного расчетного показателя;</w:t>
      </w:r>
      <w:r>
        <w:br/>
      </w:r>
      <w:r>
        <w:rPr>
          <w:rFonts w:ascii="Times New Roman"/>
          <w:b w:val="false"/>
          <w:i w:val="false"/>
          <w:color w:val="000000"/>
          <w:sz w:val="28"/>
        </w:rPr>
        <w:t>
      семьи военнослужащих погибших (умерших) при прохождении воинской службы в мирное время, единовременно в размере 2 кратного месячного расчетного показателя;</w:t>
      </w:r>
      <w:r>
        <w:br/>
      </w:r>
      <w:r>
        <w:rPr>
          <w:rFonts w:ascii="Times New Roman"/>
          <w:b w:val="false"/>
          <w:i w:val="false"/>
          <w:color w:val="000000"/>
          <w:sz w:val="28"/>
        </w:rPr>
        <w:t>
      3) 7 мая «День защитника Отечества» - военнообязанные, призывавшиеся на учебные сборы и направлявшиеся в Афганистан в период ведения боевых действий, единовременно в размере 5 кратного месячного расчетного показателя;</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единовременно, в размере 5 кратного месячного расчетного показателя;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единовременно в размере 5 кратного месячного расчетного показателя;</w:t>
      </w:r>
      <w:r>
        <w:br/>
      </w:r>
      <w:r>
        <w:rPr>
          <w:rFonts w:ascii="Times New Roman"/>
          <w:b w:val="false"/>
          <w:i w:val="false"/>
          <w:color w:val="000000"/>
          <w:sz w:val="28"/>
        </w:rPr>
        <w:t>
      4) 9 мая «День Победы Великой Отечественной войны» - участники и инвалиды Великой Отечественной войны, единовременно в размере 100 кратного месячного расчетного показателя;</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единовременно в размере 5 кратного месячного расчетного показателя;</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единовременно в размере 5 кратного месячного расчетного показателя;</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r>
        <w:br/>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семьи военнослужащих, партизан, подпольщиков, лиц, в указанных </w:t>
      </w:r>
      <w:r>
        <w:rPr>
          <w:rFonts w:ascii="Times New Roman"/>
          <w:b w:val="false"/>
          <w:i w:val="false"/>
          <w:color w:val="000000"/>
          <w:sz w:val="28"/>
        </w:rPr>
        <w:t>статьях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r>
        <w:br/>
      </w: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в размере 5 кратного месячного расчетного показателя;</w:t>
      </w:r>
      <w:r>
        <w:br/>
      </w: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5 кратного месячного расчетного показателя;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w:t>
      </w:r>
      <w:r>
        <w:br/>
      </w:r>
      <w:r>
        <w:rPr>
          <w:rFonts w:ascii="Times New Roman"/>
          <w:b w:val="false"/>
          <w:i w:val="false"/>
          <w:color w:val="000000"/>
          <w:sz w:val="28"/>
        </w:rPr>
        <w:t>
      5) 1 июня (День защиты детей) – детям, оставшимся без попечения родителей и детям инвалидам обслуживающихся на дому, единовременно в размере 3 кратного месячного расчетного показателя;</w:t>
      </w:r>
      <w:r>
        <w:br/>
      </w:r>
      <w:r>
        <w:rPr>
          <w:rFonts w:ascii="Times New Roman"/>
          <w:b w:val="false"/>
          <w:i w:val="false"/>
          <w:color w:val="000000"/>
          <w:sz w:val="28"/>
        </w:rPr>
        <w:t>
      6) 1 октября (День пожилых людей) – одиноко проживающим пенсионерам, единовременно в размере 2 кратного месячного расчетного показателя;</w:t>
      </w:r>
      <w:r>
        <w:br/>
      </w:r>
      <w:r>
        <w:rPr>
          <w:rFonts w:ascii="Times New Roman"/>
          <w:b w:val="false"/>
          <w:i w:val="false"/>
          <w:color w:val="000000"/>
          <w:sz w:val="28"/>
        </w:rPr>
        <w:t>
      7) 12 октября (День инвалидов) – инвалидам, единовременно в размере 2 кратного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подписки в изданиях - участникам и инвалидам Великой Отечественной войны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2 кратного месячного расчетного показателя;»;</w:t>
      </w:r>
      <w:r>
        <w:br/>
      </w:r>
      <w:r>
        <w:rPr>
          <w:rFonts w:ascii="Times New Roman"/>
          <w:b w:val="false"/>
          <w:i w:val="false"/>
          <w:color w:val="000000"/>
          <w:sz w:val="28"/>
        </w:rPr>
        <w:t>
      подпункт 5)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лицам, имеющие социально значимое заболевание туберкулез, а также лица страдающие хронической почечной недостаточностью, единовременно в размере 28,9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дополнить подпунктами 8), 9):</w:t>
      </w:r>
      <w:r>
        <w:br/>
      </w:r>
      <w:r>
        <w:rPr>
          <w:rFonts w:ascii="Times New Roman"/>
          <w:b w:val="false"/>
          <w:i w:val="false"/>
          <w:color w:val="000000"/>
          <w:sz w:val="28"/>
        </w:rPr>
        <w:t>
      «8) лицам, заразившиеся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 ежемесячно, в размере до 21,9 месячных расчетных показателей;</w:t>
      </w:r>
      <w:r>
        <w:br/>
      </w:r>
      <w:r>
        <w:rPr>
          <w:rFonts w:ascii="Times New Roman"/>
          <w:b w:val="false"/>
          <w:i w:val="false"/>
          <w:color w:val="000000"/>
          <w:sz w:val="28"/>
        </w:rPr>
        <w:t>
      9) участникам и инвалидам Великой Отечественной войны, на улучшение качество жизни, единовременно, в размере 100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2. Настоящее решение вводится в действие со дня первого официального опубликования.       </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Ж.Нышанов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Толебийского</w:t>
      </w:r>
      <w:r>
        <w:br/>
      </w:r>
      <w:r>
        <w:rPr>
          <w:rFonts w:ascii="Times New Roman"/>
          <w:b w:val="false"/>
          <w:i w:val="false"/>
          <w:color w:val="000000"/>
          <w:sz w:val="28"/>
        </w:rPr>
        <w:t>
</w:t>
      </w:r>
      <w:r>
        <w:rPr>
          <w:rFonts w:ascii="Times New Roman"/>
          <w:b w:val="false"/>
          <w:i/>
          <w:color w:val="000000"/>
          <w:sz w:val="28"/>
        </w:rPr>
        <w:t>      районного маслихата                        А.Шынгысбаев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