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0fee" w14:textId="1900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Усть-Каменогорска от 27 апреля 2010 года № 6857 "Об определении мест для осуществления выездной торговли"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02 декабря 2015 года N 13965. Зарегистрировано Департаментом юстиции Восточно-Казахстанской области 24 декабря 2015 года N 4289. Утратило силу - постановлением акимата города Усть-Каменогорска Восточно-Казахстанской области от 5 июня 2018 года № 2404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05.06.2018 № 2404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 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"Об определении мест для осуществления выездной торговли" от 27 апреля 2010 года № 6857 (зарегистрировано в Реестре государственной регистрации нормативных правовых актов за № 5-1-145, опубликовано 4 июня 2010 года в газете "Дидар", 8 июня 2010 года в газете "Рудный Алтай")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за № 11148),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