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436" w14:textId="656e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12 марта 2015 года № 82. Зарегистрировано Департаментом юстиции Восточно-Казахстанской области 3 апреля 2015 года № 3822. Утратило силу - постановлением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25.03.2016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внутренней политики, культуры и развития языков Катон-Карагайского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82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Катон-Карагайского района"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Катон-Карагайского района" (далее - Отдел) является государственным органом Республики Казахстан, осуществляет руководство в сфере внутренней политики, культуры и развития языков на территории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070900, Республика Казахстан, Восточно-Казахстанская область, Катон-Карагайский район, село Улкен Нарын, улица Тумашинова, дом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политики, культуры и развития языков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реализация государственной политики, направленной на сохранение общественно-политической стабильности и единства народа в районе,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общества, культуры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внутриполитическую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работу местных исполнительных органов района, а также организовывает проведение комплекса информационно - 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укрепляет конструктивное взаимодействие с политическими партиями, общественно-политическими организациями и религиозными конфессиями,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работу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в уполномоченный орган в сфере религиозной деятельности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использованием (установлением, размещением) государственных символов Республики Казахстан на территории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Катон-Карагайского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казенное предприятие "Центр культуры и досуга населения Катон - 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"Катон-Карагайская центральная районная библиотека".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казенное предприятие "Центр молодежи Катон - 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