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91d" w14:textId="fc89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Шемонаихинского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10 марта 2015 года № 65. Зарегистрировано Департаментом юстиции Восточно-Казахстанской области 10 апреля 2015 года № 3861. Утратило силу - постановлением акимата Шемонаихинского района Восточно-Казахстанской области от 29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29.01.2016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Типовой методикой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ежегодной оценки деятельности административных государственных служащих корпуса "Б" Шемонаихинского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2015 года № 65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органы с учетом специфики своей деятельности разрабатывают и утверждают методики оценки деятельности служащих корпуса "Б" на основе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уведомляет служащего, подлежащего оценке, а также лиц, указанных в пункта 5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лист,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Оценочные листы, заполненные лицами, указанными в пункте 14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Служба управления персоналом осуществляет расчет средней оценки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Оценка лицами, указанными в пункте 14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4660"/>
        <w:gridCol w:w="3713"/>
        <w:gridCol w:w="2121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Ознакомлен(а):</w:t>
      </w:r>
      <w:r>
        <w:rPr>
          <w:rFonts w:ascii="Times New Roman"/>
          <w:b w:val="false"/>
          <w:i w:val="false"/>
          <w:color w:val="000000"/>
          <w:sz w:val="28"/>
        </w:rPr>
        <w:t>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(Ф.И.О.)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