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c8db7c" w14:textId="7c8db7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расчета тарифов на сбор, вывоз и захоронение твердых бытовых отходов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энергетики Республики Казахстан от 15 января 2016 года № 10. Зарегистрирован в Министерстве юстиции Республики Казахстан 27 января 2016 года № 12936. Утратил силу приказом Министра энергетики Республики Казахстан от 1 сентября 2016 года № 404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   Сноска. Утратил силу приказом Министра энергетики РК от 01.09.2016 </w:t>
      </w:r>
      <w:r>
        <w:rPr>
          <w:rFonts w:ascii="Times New Roman"/>
          <w:b w:val="false"/>
          <w:i w:val="false"/>
          <w:color w:val="ff0000"/>
          <w:sz w:val="28"/>
        </w:rPr>
        <w:t>№ 404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подпунктом 2) </w:t>
      </w:r>
      <w:r>
        <w:rPr>
          <w:rFonts w:ascii="Times New Roman"/>
          <w:b w:val="false"/>
          <w:i w:val="false"/>
          <w:color w:val="000000"/>
          <w:sz w:val="28"/>
        </w:rPr>
        <w:t>статьи 20-1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Экологического кодекса Республики Казахстан от 9 января 2007 года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прилагаемую 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расчета тарифов на сбор, вывоз и захоронение твердых бытовых отходов.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управления отходами Министерства энергетики Республики Казахстан в установленном законодательством Республики Казахстан порядке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в Министерстве юстиции Республики Казахстан направление его копии на официальное опубликование в периодических печатных изданиях и информационно-правовой системе «Әділет», а также в Республиканское государственное предприятие на праве хозяйственного ведения «Республиканский центр правовой информации» Министерства юстиции Республики Казахстан для включения в Эталонный контрольный банк нормативных правовых актов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официальном интернет-ресурсе Министерства энергетики Республики Казахстан и интранет-портале государственных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энергетики Республики Казахстан сведений об исполнении мероприятий, предусмотренных подпунктами 2) и 3) настоящего пункта.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энергетики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 Министр энергетики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В. Школьник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приказом Министра энергетики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15 января 2016 года № 10</w:t>
      </w:r>
    </w:p>
    <w:bookmarkEnd w:id="2"/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Методика расчета тарифов на сбор, вывоз и захоронение</w:t>
      </w:r>
      <w:r>
        <w:br/>
      </w:r>
      <w:r>
        <w:rPr>
          <w:rFonts w:ascii="Times New Roman"/>
          <w:b/>
          <w:i w:val="false"/>
          <w:color w:val="000000"/>
        </w:rPr>
        <w:t>
твердых бытовых отходов</w:t>
      </w:r>
    </w:p>
    <w:bookmarkEnd w:id="3"/>
    <w:bookmarkStart w:name="z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Настоящая Методика расчета тарифов на сбор, вывоз и захоронение твердых бытовых отходов (далее – Методика) разработана в соответствии с подпунктом 2) </w:t>
      </w:r>
      <w:r>
        <w:rPr>
          <w:rFonts w:ascii="Times New Roman"/>
          <w:b w:val="false"/>
          <w:i w:val="false"/>
          <w:color w:val="000000"/>
          <w:sz w:val="28"/>
        </w:rPr>
        <w:t>статьи 20-1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Экологического кодекса Республики Казахстан от 9 января 2007 года и предназначена для расчета тарифов на сбор, вывоз и захоронение твердых бытовых отходов (далее – ТБО).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Порядок определения себестоимости.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Обоснование общей потребности в финансовых средствах на сбор, вывоз и захоронение ТБО производится через себестоимость, которая отражает фактические затраты специализированных организаций, сгруппированные по экономическим элементам и статьям калькуляции.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Полная себестоимость услуг (С) определяется как сумма затрат на выполнение работ по сбору, вывозу и захоронению ТБО, а также общеэксплуатационных и внеэксплуатационных расходов.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Себестоимость калькуляционной единицы определяется путем деления полной себестоимости на объем/массу собранных, вывезенных и захороненных ТБО.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Основные показатели работы предприятий по вывозу ТБО представлены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расчете нормативных затрат на сбор и транспортировку ТБО целесообразно учитывать средние расходы на 1 рейс спецмашины.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 одним рейсом понимается однократный совокупный цикл движения спецмашины, начинающийся от первого места сбора ТБО и после объезда спецмашиной контейнерных площадок по установленному технологией перевозок маршруту до полной загрузки спецмашины, заканчивающийся местом захоронения ТБО.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расчета средней суммарной себестоимости сбора и вывоза ТБО за 1 рейс ее необходимо пересчитать на принятую единицу измерения - 1 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/1 тонна ТБО.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Таблица для расчета полной себестоимость сбора, вывоза и захоронения ТБО представлена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Потребность в финансовых средствах специализированных организаций, оказывающих услуги по сбору, вывозу и захоронению ТБО (далее – услуги), определяется по формуле:</w:t>
      </w:r>
    </w:p>
    <w:bookmarkEnd w:id="5"/>
    <w:p>
      <w:pPr>
        <w:spacing w:after="0"/>
        <w:ind w:left="0"/>
        <w:jc w:val="both"/>
      </w:pPr>
      <w:r>
        <w:drawing>
          <wp:inline distT="0" distB="0" distL="0" distR="0">
            <wp:extent cx="1358900" cy="292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ФС - потребность в финансовых средствах специализированных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- полная себестоимость (затраты);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 - прибыль.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Годовой тариф на услуги специализированных организаций на единицу (объем/массу) ТБО рассчитывается следующим образом: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1130300" cy="342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303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 – годовой тариф на услуги специализированных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 – объем/масса вывезенных коммунальных отходов.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Месячный тариф на одного жителя на вывоз ТБО определяется по следующей формуле: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1155700" cy="596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55700" cy="59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где: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Тм - месячный тариф на одного жителя на вывоз ТБО;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 - годовая норма накопления ТБО на одного жителя. </w:t>
      </w:r>
    </w:p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Методике расчета тарифов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сбор, вывоз и захоронение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твердых бытовых отходов  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 </w:t>
      </w:r>
      <w:r>
        <w:rPr>
          <w:rFonts w:ascii="Times New Roman"/>
          <w:b/>
          <w:i w:val="false"/>
          <w:color w:val="000000"/>
          <w:sz w:val="28"/>
        </w:rPr>
        <w:t>Основные показатели работы предприятий по сбору и вывозу ТБО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5"/>
        <w:gridCol w:w="5866"/>
        <w:gridCol w:w="1171"/>
        <w:gridCol w:w="1384"/>
        <w:gridCol w:w="1225"/>
        <w:gridCol w:w="1807"/>
        <w:gridCol w:w="1762"/>
      </w:tblGrid>
      <w:tr>
        <w:trPr>
          <w:trHeight w:val="765" w:hRule="atLeast"/>
        </w:trPr>
        <w:tc>
          <w:tcPr>
            <w:tcW w:w="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п/п </w:t>
            </w:r>
          </w:p>
        </w:tc>
        <w:tc>
          <w:tcPr>
            <w:tcW w:w="58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</w:p>
        </w:tc>
        <w:tc>
          <w:tcPr>
            <w:tcW w:w="1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Ед. изм.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1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17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Примеч.</w:t>
            </w:r>
          </w:p>
        </w:tc>
      </w:tr>
      <w:tr>
        <w:trPr>
          <w:trHeight w:val="7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6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Парк спец. машин, всего, в том числе по маркам машин 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 эксплуатации спец. машин по маркам 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лет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смены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час.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Коэффициент использования парка машин, всего, в том числе по маркам машин 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% 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Число поездок с ТБО, всего, в том числе по маркам машин 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4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Koличество ТБО, загружаемых в спецмашину за 1 рейс, всего в том числе по маркам машин 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Вывезено ТБО, всего, в том числе по маркам машин 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Пробег машин, всего, в том числе по маркам машин 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км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Методике расчета тарифов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сбор, вывоз и захоронение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твердых бытовых отходов  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 </w:t>
      </w:r>
      <w:r>
        <w:rPr>
          <w:rFonts w:ascii="Times New Roman"/>
          <w:b/>
          <w:i w:val="false"/>
          <w:color w:val="000000"/>
          <w:sz w:val="28"/>
        </w:rPr>
        <w:t>  Полная себестоимость сбора, вывоза и захоронения ТБО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4"/>
        <w:gridCol w:w="7208"/>
        <w:gridCol w:w="1836"/>
        <w:gridCol w:w="2274"/>
        <w:gridCol w:w="2068"/>
      </w:tblGrid>
      <w:tr>
        <w:trPr>
          <w:trHeight w:val="162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п/п </w:t>
            </w:r>
          </w:p>
        </w:tc>
        <w:tc>
          <w:tcPr>
            <w:tcW w:w="7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 и себестоимость, тенге/год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</w:t>
            </w:r>
          </w:p>
        </w:tc>
      </w:tr>
      <w:tr>
        <w:trPr>
          <w:trHeight w:val="31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30" w:hRule="atLeast"/>
        </w:trPr>
        <w:tc>
          <w:tcPr>
            <w:tcW w:w="6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7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 на сбор и вывоз ТБО, в том числе: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 на оплату труда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Отчисления из фонда оплаты труда 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Амортизация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 на топливо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 на материалы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Затраты на техническое обслуживание и ремонт спецмашин 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Цеховые расходы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7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 на захоронение ТБО, в том числе: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 на оплату труда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Отчисления из фонда оплаты труда 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Амортизация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 на топливо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 на материалы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Затраты на техническое обслуживание и ремонт спецмашин 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Цеховые расходы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</w:p>
        </w:tc>
        <w:tc>
          <w:tcPr>
            <w:tcW w:w="7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Общеэксплуатационные расходы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</w:t>
            </w:r>
          </w:p>
        </w:tc>
        <w:tc>
          <w:tcPr>
            <w:tcW w:w="7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расходов по эксплуатации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</w:t>
            </w:r>
          </w:p>
        </w:tc>
        <w:tc>
          <w:tcPr>
            <w:tcW w:w="7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Внеэксплуатационные расходы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7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Полная себестоимость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 </w:t>
            </w:r>
          </w:p>
        </w:tc>
        <w:tc>
          <w:tcPr>
            <w:tcW w:w="7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Себестоимость сбора, вывоза и захоронения 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ТБО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 </w:t>
            </w:r>
          </w:p>
        </w:tc>
        <w:tc>
          <w:tcPr>
            <w:tcW w:w="7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Себестоимость сбора, вывоза и захоронения 1 тонны ТБО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7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header.xml" Type="http://schemas.openxmlformats.org/officeDocument/2006/relationships/header" Id="rId7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