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65f3" w14:textId="ab86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11 сентября 2013 года № 370 "Об утверждении Типовых правил деятельности видов организаций дополнительного образования для взрослых"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8 января 2016 года № 11. Зарегистрирован в Министерстве юстиции Республики Казахстан 8 февраля 2016 года № 13019.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сентября 2013 года № 370 "Об утверждении Типовых правил деятельности видов организаций дополнительного образования для взрослых" (зарегистрированный в Реестре государственной регистрации нормативных правовых актов под № 8829, опубликованный в газете "Казахстанская правда" от 15 апреля 2014 года № 72 (27693)),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дополнительного образования для взрослых,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институты дополнительного образования, реализующие образовательные программы дополнительного образования, а также их филиалы (далее - Институты)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центры (региональные, межрегиональные, отраслевые) дополнительного образования, реализующие образовательные программы дополнительного образования (далее - Центры)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структурные подразделения юридических лиц, реализующие образовательные программы дополнительного образования независимо от форм собственности (далее – Структурные подразделения юридических лиц);";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Организации образования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18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регламентирующими образовательную деятельность, а также настоящими Типовыми правилами и разработанным на их основе уставом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освоившим образовательные программы дополнительного образования, выдается свидетельство/сертификат о присвоении квалификации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Институты дополнительного образования, реализующие образовательные программы дополнительного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Руководство учебно-методической и научно-методической работой возлагается: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-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программы технического и профессионального, послесреднего образования - на методические кабинеты областных, городов республиканского значения и столицы органов управления образованием.";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зависимости от содержания образовательных программ с учетом потребностей и возможностей личности, создания условий доступности профессионального обучения в Центрах обучение осуществляется в следующих формах: очное, вечернее.";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Для организации и проведения учебных занятий с обучающимися в Центрах создаются учебные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технического и профессионального образования, утвержденными постановлением Правительства Республики Казахстан от 17 мая 2013 года № 499.";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Структурные подразделения юридических лиц, реализующие образовательные программы дополнительного образования";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К Структурным подразделениям юридических лиц относятся центры повышения квалификации для организации стажировки, повышения квалификации, переподготовки научных, педагогических, инженерно-технических и медицинских работников и работников других отраслей экономики по образовательным программам дополнительного образования.".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 Ж.)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