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8d61" w14:textId="c308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Республики Казахстан по вопросам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января 2016 года № 12. Зарегистрировано в Министерстве юстиции Республики Казахстан 29 февраля 2016 года № 13308.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финансового рынка и финансовых организаций, в которые вносятся изменения и дополнения (далее – Перечень).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контроля и надзора (Абдрахманов Н.А.)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получения Национальным Банком Республики Казахстан после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Национального Банка Республики Казахстан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средствах массовой информации в течение десяти календарных дней после его государственной регистрации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опубликования, за исключением пункта 11 Перечня, который вводится в действие с 15 мая 2016 года и абзаца тридцать третьего пункта 5 Перечня, который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12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 вопросам финансового рынка и финансовых организаций,</w:t>
      </w:r>
      <w:r>
        <w:br/>
      </w:r>
      <w:r>
        <w:rPr>
          <w:rFonts w:ascii="Times New Roman"/>
          <w:b/>
          <w:i w:val="false"/>
          <w:color w:val="000000"/>
        </w:rPr>
        <w:t>в которые вносятся изменения и дополнения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июня 2007 года № 177 "Об утверждении Инструкции по формированию и ведению базы данных" (зарегистрированное в Реестре государственной регистрации нормативных правовых актов под № 4860) следующие изменения: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Требований к деятельности организации по формированию и ведению базы данных";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Требования к деятельности организации по формированию и ведению базы данных.";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и ведению базы данных, утвержденной указанным постановлением: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к деятельности организации по формированию и ведению базы данных";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Требования к деятельности организации по формированию и ведению базы данных (далее -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 (далее - Закон о страховой деятельности) и устанавливают требования к деятельности организации по формированию и ведению базы данных (далее - Организация), включая требования к информационному процессу, формированию системы безопасности и установлению минимальных требований к электронному оборудованию, сохранности единой базы данных по страхованию (далее - база данных), и помещениям, а также устанавливают форму акта ввода системы управления базы данных в промышленную эксплуатацию, требования к содержанию внутренних правил, устанавливающих порядок деятельности Организации, порядку предоставления поставщиками информации для формирования базы данных, дополнительные требования к содержанию информации, предоставляемой поставщиками информации, сроки ее предоставления в электронном виде, а также порядок предоставления страховых отчетов.";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 Требованиях используются основные понятия, установленные Законом о страховой деятельности,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подписи", а также следующие понятия:";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Осуществление деятельности Организации допускается только при наличии акта ввода системы управления базы данных в промышленную эксплуатацию по форме согласно приложению к Требованиям и внутренних правил, устанавливающих порядок деятельности Организации.";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Поставщик информации, указанный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о страховой деятельности, представляет в Организацию 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 марта 2010 года № 24 "Об утверждении Требований к содержанию и изготовлению бланков страховых полисов, оформлению и выдаче страховых полисов по обязательному страхованию гражданско-правовой ответственности владельцев транспортных средств, обязательному страхованию гражданско-правовой ответственности туроператора или турагента, а также к содержанию заявлений страхователя для заключения договоров обязательного страхования по отдельным видам обязательного страхования", зарегистрированным в Реестре государственной регистрации нормативных правовых актов под № 6171 (далее – постановление № 24), в режиме реального времени.";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Организация присваивает уникальный номер страховому полису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страховщиком сведений о страхователе (застрахованном), транспортном средстве (транспортных средствах) в базу данных на основе заявления страхователя для заключения договора обязательного страхования гражданско-правовой ответственности владельцев транспортных средств, требования к содержанию которого установлены постановлением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в базе данных страхового отчета, содержащего сведения, необходимые для включения в страховой полис по обязательному страхованию;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присвоение уникального номера страховому полису, являющегося номером страхового полиса;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выведение информации, сформированной в базе данных, посредством ее распечатки на бланке страхового полиса.";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Информация, предоставленная поставщиком информации, возвращается Организацией без ее использования в информационной системе формирования и использования страховых отчетов, в случае ее неправильного или неполного оформления, несоответствия данных поставщика информации, получателя страхового отчета, субъекта базы данных требованиям к используемой информационной системе.";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Персональный компьютер пользователя оснащается комплексом защиты, включающим в себя средства идентификации и аутентификации пользователей, возможность ведения электронных журналов в течение срока хранения электронных документов, с целью контроля деятельности, связанной с доступом к компьютеру и действиями пользователей.";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Персональный компьютер пользователя оснащается средством обеспечения целостности программного обеспечения.";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"53. Порядок доступа к ресурсам (дисковое пространство, директории, сетевые ресурсы, базы данных и другие), выделенным для накопления в них информации для передачи в информационную среду с использованием системы защиты, получения информации из информационной среды, хранения, архивирования либо другой обработки информации, исключает возможность несанкционированного доступа к этим ресурсам.";        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"64. Порядок хранения и использования внешних носителей с ключевой информацией исключает возможность несанкционированного доступа к ним.";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нормативных правовых актов Республики Казахстан по вопросам финансового рынка и финансовых организаций, в которые вносятся изменения и дополнения (далее – Перечень).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Утратил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67 "Об утверждении Правил выдачи, отзыва согласия на приобретение статуса крупного участника банка, банковского холдинга, крупного участника страховой (перестраховочной) организации, страхового холдинга, крупного участника управляющего инвестиционным портфелем и требования к документам, представляемым для получения указанного согласия" (зарегистрированное в Реестре государственной регистрации нормативных правовых актов под № 7552, опубликованное 19 июня 2012 года в газете "Казахстанская правда" № 191-192 (27010-27011)) следующие изменения и дополнение: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отзыва согласия на приобретение статуса крупного участника банка, банковского холдинга, крупного участника страховой (перестраховочной) организации, страхового холдинга, крупного участника управляющего инвестиционным портфелем и требованиях к документам, представляемым для получения указанного согласия, утвержденных указанным постановлением: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Заявитель одновременно с заявлением представляет в уполномоченный орган документы и сведения, предусмотренные, соответственно,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17-1 Закона о банках,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о страховании,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72-1 Закона о рынке ценных бумаг.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одновременном получении статуса крупного участника, банковского и (или) страхового холдинга нескольких финансовых организаций заявителем представляются в едином пакете соответствующие документы, предусмотренные пунктами 8, 9, 10 и 11 Правил, с учетом требований пунктов 5 и 6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согласия лицу на приобретение статуса банковского холдинга одновременно выдается разрешение на значительное участие в капитале банка либо создание (приобретение) дочернего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согласия лицу, не являющемуся банковским холдингом или банком, на приобретение статуса страхового холдинга одновременно выдается разрешение на значительное участие в капитале страховой (перестраховочной) организации либо создание (приобретение) дочерней страховой (перестраховочной)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Краткие данные о заявителе - физическом лице, руководящем работнике заявителя - юридического лица представляются по форме согласно приложению 1 к Правилам, включая сведения об образовании, о трудовой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безупречной деловой репутации заявителя – физического лица, руководящего работника заявителя – юридического лица представляются согласно приложению 2 к Правилам с приложением: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документа, подтверждающего отсутствие неснятой или непогашенной судимости, выданного уполномоченным государственным органом по формированию правовой статистики и ведению специальных учетов (дата выдачи указанного документа не может быть более трех месяцев, предшествующих дате подачи заявления). Иностранцы дополнительно представляют документ аналогичного содержания, выданный соответствующим государственным органом страны их гражданства, а лица без гражданства - страны их постоянного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копий документов, подтверждающих сведения о безупречной деловой репутации заявителя – физического лица, руководящего работника заявителя – юридического лица, указанные в приложении 2 к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и имуществе, а также информация об имеющейся задолженности по всем обязательствам заявителя представляются по форме, согласно приложению 3 к Правилам с приложением копий подтверждающих документов по доходам и имуществу.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рекапитализации финансовой организации в случаях возможного ухудшения финансового положения финансовой организации содержит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текущего состояния финансовой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мероприятий по финансовому оздоровлению финансовой организации (меры по снижению расходов, дополнительные финансовые вложения (с указанием суммы и источников вложения денег), направленные на восстановление собственного капитала финансовой организации до величины, при которой будут выполняться пруденциальные нормативы и иные обязательные к соблюдению нормы и лимиты, мероприятия по получению дополнительных доходов и иные мероприятия);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календарные сроки выполнения мероприятий по финансовому оздоровлению финансовой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предполагаемый экономический эффект оздоровительных мероприятий (динамика изменений пруденциальных нормативов, изменение размера собственного капитала финансовой организации, изменение финансовых и иных показателей финансовой организации).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рекапитализации финансовой организации в случаях возможного ухудшения финансового положения финансовой организации заверяется подписью заявителя – физического лица либо первого руководителя заявителя – юридического лица, его крупным акционером (акционерами) и оттиском печати (при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заявитель является банковским холдингом и (или) страховым холдингом, либо крупным участником другой финансовой организации, то представляемый в уполномоченный орган план рекапитализации составляется с учетом обязательств заявителя в соответствии с планом рекапитализации этой финансовой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Бизнес-план, не ограничиваясь нижеследующим, содержит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цели и задач финансовой организации и виды представляемых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деятельности финансовой организации (анализ внешней и внутренней среды);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стратегию развития и масштабы деятельности финансовой организации на пять ближайших финансовых (операционных)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детализированный годовой финансовый план на пять ближайших финансовых (операционных) лет (расчет основных финансовых показателей, бюджет, бухгалтерский баланс, отчет о прибылях и убытках, источники и объемы финансирования бизнес-плана);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управления рисками (описание рисков, связанных с осуществлением деятельности финансовой организации, и способы управления ими на пять ближайших финансовых (операционных)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привлечения трудовых ресурсов на пять ближайших финансовых (операционных)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Бизнес-план заверяется подписью заявителя – физического лица либо первого руководителя заявителя – юридического лица, его крупным акционером (акционерами) и оттиском печати (при наличии).";</w:t>
      </w:r>
    </w:p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 Анализ финансовых последствий приобретения заявителем статуса банковского холдинга и (или) страхового холдинга включает проверку: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наличие документов по системе управления рисками и внутреннего контроля, в том числе связанных с деятельностью дочерней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соблюдение пруденциальных нормативов банковским конгломератом или страховой группой в случае, если приобретение заявителем статуса банковского холдинга или страхового холдинга приведет к формированию, соответственно, банковского конгломерата или страховой группы.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требованиям, указанным в подпунктах 1) и 2) части первой настоящего пункта Правил, предполагает в том числе ухудшение финансового состояния финансовой организации.";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Правления Национального Банка РК от 19.08.2019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постановлением Правления Национального Банка РК от 26.12.2016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мая 2012 года № 194 "Об утверждении Правил раскрытия информации юридическим лицом для целей получения банковского займа и (или) банковской гарантии" (зарегистрированное в Реестре государственной регистрации нормативных правовых актов Республики Казахстан под № 7781, опубликованное 29 августа 2012 года в газете "Казахстанская правда" № 290-291 (27109-27110)) следующие изменения: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раскрытия информации юридическим лицом для целей получения банковского займа и (или) банковской гарантии, утвержденных указанным постановлением: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сведений, размещенных на интернет-ресурсе Национального Банка Республики Казахстан либо органа финансового надзора страны местонахождения юридического лица, владеющего прямо или косвенно долями участия в уставном капитале либо размещенными (за вычетом привилегированных и выкупленных обществом) акциями юридического лица, либо на интернет-ресурсе депозитария финансовой отчетности, определенного в соответствии с законодательством Республики Казахстан о бухгалтерском учете и финансовой отчетности;";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</w:t>
      </w:r>
    </w:p>
    <w:bookmarkStart w:name="z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2012 года № 385 "Об установлении минимального рейтинга для юридических лиц,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рейтинг" (зарегистрированное в Реестре государственной регистрации нормативных правовых актов под № 8318, опубликованное 5 июня 2013 года в газете "Казахстанская правда" № 190-191 (27464-27465)) следующее изменение и дополнение: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пунктов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подпунктов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8-1,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17-1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20,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30,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52-12 и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Закона Республики Казахстан от 31 августа 1995 года "О банках и банковской деятельности в Республике Казахстан" (далее - Закон о банках),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15-1,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21,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32,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34,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 </w:t>
      </w:r>
      <w:r>
        <w:rPr>
          <w:rFonts w:ascii="Times New Roman"/>
          <w:b w:val="false"/>
          <w:i w:val="false"/>
          <w:color w:val="000000"/>
          <w:sz w:val="28"/>
        </w:rPr>
        <w:t>пунктов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48,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18 декабря 2000 года "О страховой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72-1 Закона Республики Казахстан от 2 июля 2003 года "О рынке ценных бумаг"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Банк второго уровня, не имеющий крупного участника - физического лица, для выполнения требования пункта 13 статьи 30 Закона о банках, имеет родительский банк либо банковский холдинг, имеющий минимальный долгосрочный кредитный рейтинг по международной шкале в иностранной валюте: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юридических лиц - резидентов Республики Казахстан - не ниже "ВВ-" рейтингового агентства Standard &amp; Poors или рейтингов аналогичного уровня, присвоенных одним из рейтинговых агентств, указанных в пункте 3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 - нерезидентов Республики Казахстан – установленный пунктами 1 и 2 настоящего постановления.".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утратил силу постановлением Правления Национального Банка РК от 28.11.2019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 февраля 2014 года № 10 "Об утверждении Правил осуществления деятельности по управлению инвестиционным портфелем" (зарегистрированное в Реестре государственной регистрации нормативных правовых актов под № 9248, опубликованное 16 апреля 2014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 следующие изменения:</w:t>
      </w:r>
    </w:p>
    <w:bookmarkEnd w:id="20"/>
    <w:bookmarkStart w:name="z6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по управлению инвестиционным портфелем, утвержденных указанным постановлением:</w:t>
      </w:r>
    </w:p>
    <w:bookmarkEnd w:id="21"/>
    <w:bookmarkStart w:name="z7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решения профессиональной организации, принятые в отношении данного управляющего инвестиционным портфелем либо его работников в течение последних двенадцати месяцев;";</w:t>
      </w:r>
    </w:p>
    <w:bookmarkStart w:name="z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мерах воздействия, примененных профессиональной организацией;".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вопросам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 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 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ведению базы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ввода системы управления базы данных в</w:t>
      </w:r>
      <w:r>
        <w:br/>
      </w:r>
      <w:r>
        <w:rPr>
          <w:rFonts w:ascii="Times New Roman"/>
          <w:b/>
          <w:i w:val="false"/>
          <w:color w:val="000000"/>
        </w:rPr>
        <w:t>промышленную эксплуатацию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по формированию и ведению базы данных)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89"/>
        <w:gridCol w:w="6311"/>
      </w:tblGrid>
      <w:tr>
        <w:trPr>
          <w:trHeight w:val="30" w:hRule="atLeast"/>
        </w:trPr>
        <w:tc>
          <w:tcPr>
            <w:tcW w:w="59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"____"_____________ 20___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дата</w:t>
            </w:r>
          </w:p>
        </w:tc>
        <w:tc>
          <w:tcPr>
            <w:tcW w:w="6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место составления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79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18 декабря 2000 года "О страховой деятельности" (далее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 о страховой деятельности) создана комиссия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уполномоченного органа (указать 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(при его наличии)):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которая составила настоящий акт ввода системы управления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 в промышленную эксплуатацию Организации по формированию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ведению базы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работе комиссии участвуют представители Организации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формированию и ведению базы данных (указать должность, фамилию,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относительно заключенных договоров о предоставлении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с поставщиками информации, указанными в пункте 3 статьи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Закона о страховой деятельности: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4"/>
        <w:gridCol w:w="4605"/>
        <w:gridCol w:w="2223"/>
        <w:gridCol w:w="1031"/>
        <w:gridCol w:w="1827"/>
      </w:tblGrid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информации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и дата заключения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тестирования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Пояснения к результату тестирования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Страховщики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государственный орган, осуществляющий государственный контроль за субъектами базы данных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(количество)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информационного процесса по формированию и выдаче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страховых отчетов: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системы управления базы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тестирования информационного процесса с поставщиками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информации, заключившими договор о представлении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содержание пояснений представителей Организации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формированию и ведению базы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проверила технические и иные документы, договоры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предоставлении информации с поставщиками информации, указанными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пункте 3 статьи 80 Закона о страховой деятельности, Организации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формированию и ведению базы данных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обследовала его системы управления базы данных и иных объектов,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предназначенных для организации информационного процесса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формированию и выдаче страховых отчетов и установила, что данная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 формированию и ведению базы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готова (не готова) к вводу системы управления базы данных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промышленную эксплуатацию.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 по формированию и ведению базы данных предъявлены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документы, касающиеся организации информационного процесса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формированию и выдаче страховых отчетов, системы управления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 и тестирования информационного процесса, которые приложены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составлен в двух экземплярах и по одному экземпляру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уполномоченному органу;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по формированию и ведению базы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и дата подписания):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Организации по формированию и ведению базы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подпись и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по формированию и ведению базы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подпись и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вопросам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 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САҚТАНДЫРУШЫНЫҢ ЛОГОТИПІ/</w:t>
      </w:r>
      <w:r>
        <w:br/>
      </w:r>
      <w:r>
        <w:rPr>
          <w:rFonts w:ascii="Times New Roman"/>
          <w:b/>
          <w:i w:val="false"/>
          <w:color w:val="000000"/>
        </w:rPr>
        <w:t>ЛОГОТИП СТРАХОВЩИКА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 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САҚТАНДЫРУШЫНЫҢ ЛОГОТИПІ/</w:t>
      </w:r>
      <w:r>
        <w:br/>
      </w:r>
      <w:r>
        <w:rPr>
          <w:rFonts w:ascii="Times New Roman"/>
          <w:b/>
          <w:i w:val="false"/>
          <w:color w:val="000000"/>
        </w:rPr>
        <w:t>ЛОГОТИП СТРАХОВЩИКА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 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САҚТАНДЫРУШЫНЫҢ ЛОГОТИПІ/</w:t>
      </w:r>
      <w:r>
        <w:br/>
      </w:r>
      <w:r>
        <w:rPr>
          <w:rFonts w:ascii="Times New Roman"/>
          <w:b/>
          <w:i w:val="false"/>
          <w:color w:val="000000"/>
        </w:rPr>
        <w:t>ЛОГОТИП СТРАХОВЩИКА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 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содержанию заявления страхователя</w:t>
      </w:r>
      <w:r>
        <w:br/>
      </w:r>
      <w:r>
        <w:rPr>
          <w:rFonts w:ascii="Times New Roman"/>
          <w:b/>
          <w:i w:val="false"/>
          <w:color w:val="000000"/>
        </w:rPr>
        <w:t>для заключения договора обязательного страхования</w:t>
      </w:r>
      <w:r>
        <w:br/>
      </w:r>
      <w:r>
        <w:rPr>
          <w:rFonts w:ascii="Times New Roman"/>
          <w:b/>
          <w:i w:val="false"/>
          <w:color w:val="000000"/>
        </w:rPr>
        <w:t>гражданско-правовой ответственности туроператора или турагента</w:t>
      </w:r>
      <w:r>
        <w:br/>
      </w:r>
      <w:r>
        <w:rPr>
          <w:rFonts w:ascii="Times New Roman"/>
          <w:b/>
          <w:i w:val="false"/>
          <w:color w:val="000000"/>
        </w:rPr>
        <w:t>и перечень копий документов, подтверждающих сведения, указанные</w:t>
      </w:r>
      <w:r>
        <w:br/>
      </w:r>
      <w:r>
        <w:rPr>
          <w:rFonts w:ascii="Times New Roman"/>
          <w:b/>
          <w:i w:val="false"/>
          <w:color w:val="000000"/>
        </w:rPr>
        <w:t>в заявлении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 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 отзыва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статуса крупного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участника банка, банковского холдинга,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крупного участника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страхового холдинга, крупного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управляющего инвестиционным портфелем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к документам, представляемым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указанного согласия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доходах и имуществе, а также информация об</w:t>
      </w:r>
      <w:r>
        <w:br/>
      </w:r>
      <w:r>
        <w:rPr>
          <w:rFonts w:ascii="Times New Roman"/>
          <w:b/>
          <w:i w:val="false"/>
          <w:color w:val="000000"/>
        </w:rPr>
        <w:t>имеющейся задолженности по всем обязательствам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и реквизиты документа, удостоверяющего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(серия, номер, кем и когда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финансовых организаций, в уставном капитале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отчитывающееся лицо является крупным участником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Место жительства и (или) юридический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5.Телефон домашний___________________________________________________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рабочий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6.Отчетный период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Доходы и имущество, а также информация об имеющейся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 обязательствам заявителя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4854"/>
        <w:gridCol w:w="544"/>
        <w:gridCol w:w="666"/>
        <w:gridCol w:w="1448"/>
        <w:gridCol w:w="544"/>
        <w:gridCol w:w="1449"/>
        <w:gridCol w:w="545"/>
        <w:gridCol w:w="1450"/>
      </w:tblGrid>
      <w:tr>
        <w:trPr>
          <w:trHeight w:val="30" w:hRule="atLeast"/>
        </w:trPr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(задолженности) Стоимость актива (тенге)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(задолженности) Стоимость актива (тенге)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(задолженности) Стоимость актива (тенге)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полученные за отчетный период: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и доход от долей участия в уставных капиталах (акций) организаций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вкладам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сдачи в аренду имущества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предпринимательской деятельности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реализации имущества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дохода (с расшифровкой)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Имущество: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наличными на банковских счетах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наличными на банковских счетах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X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(с указанием наименования эмитента), в том числе простые акции, привилегированные акции, облигации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количества акций, принадлежащих крупному участнику финансовой организации, к общему количеству голосующих акций организаций (указать наименование) или долей участия в их уставных капиталах, в том числе нерезидентов Республики Казахстан (в процентах)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 (с указанием наименования и места расположения)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имущество (с расшифровкой)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по всем обязательствам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Непогашенные займы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задолженность по обязательствам (с расшифровкой)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настоящая информация была проверена и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достоверной и полной.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заполняется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печатными буквами)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Отчетным периодом является период, равный 12 (двенадцати) месяцам, предшествующим 1 (первому) числу месяца представления декларации об активах и обязательствах в органы государственных доходов в соответствии с законами Республики Казахстан от 31 августа 1995 года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О банках и банковской деятельности в Республике 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18 декабря 2000 года "</w:t>
      </w:r>
      <w:r>
        <w:rPr>
          <w:rFonts w:ascii="Times New Roman"/>
          <w:b w:val="false"/>
          <w:i w:val="false"/>
          <w:color w:val="000000"/>
          <w:sz w:val="28"/>
        </w:rPr>
        <w:t>О страховой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и от 2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 для приобретения статуса крупного участника банка, банковского холдинга, крупного участника страховой (перестраховочной) организации, страхового холдинга, крупного участника управляющего инвестиционным портфелем.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 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2012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</w:t>
      </w:r>
      <w:r>
        <w:br/>
      </w:r>
      <w:r>
        <w:rPr>
          <w:rFonts w:ascii="Times New Roman"/>
          <w:b/>
          <w:i w:val="false"/>
          <w:color w:val="000000"/>
        </w:rPr>
        <w:t>международных фондовых бирж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постановлением Правления Национального Банка РК от 19.08.2019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 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2012 года № 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</w:t>
      </w:r>
      <w:r>
        <w:br/>
      </w:r>
      <w:r>
        <w:rPr>
          <w:rFonts w:ascii="Times New Roman"/>
          <w:b/>
          <w:i w:val="false"/>
          <w:color w:val="000000"/>
        </w:rPr>
        <w:t>международных фондовых бирж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Австрийская фондовая биржа (Wiener bourse AG);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Американская фондовая биржа (American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Бомбейская фондовая биржа (The Bombay Stock Exchange Limited, BSE);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Бразильская фондовая биржа (Bovespa);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Варшавская фондовая биржа (Warsaw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Гонконгская фондовая биржа (Hong Kong Exchanges and Clearing);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Европейская фондовая биржа "Евронекст" в Амстердаме (Euronext Amsterdam);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Европейская фондовая биржа "Евронекст" в Брюсселе (Euronext Brussels);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Европейская фондовая биржа "Евронекст" в Лиссабоне (Euronext Lisbon);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Европейская фондовая биржа "Евронекст" в Париже (Euronext Paris);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Индийская фондовая биржа (Delhi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Ирландская фондовая биржа (Irish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Итальянская фондовая биржа (Borsa Italiana SPA);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Лондонская фондовая биржа (London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Малазийская фондовая биржа (Bursa Malaysia);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Мексиканская фондовая биржа (Bolsa Mexicana de Valores, BMV);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Национальная фондовая биржа Индии (National Stock Exchange of India Limited);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Немецкая фондовая биржа (Deutsche bourse AG);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Нью-Йоркская фондовая биржа (New York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Объединенная фондовая биржа Испании (ВМЕ Spanish Exchanges);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Объединенная фондовая биржа, в состав которой входят биржи Стокгольма, Хельсинки, Таллина и Риги (Hex Integrated Markets Ltd.);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Сингапурская фондовая биржа (Singapore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Стамбульская фондовая биржа (Istanbul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Стокгольмская фондовая биржа (Stockholm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Токийская фондовая биржа (Tokyo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Филиппинская фондовая биржа (Philippine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Фондовая биржа Австралии (Australian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Фондовая биржа Афин (Athens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Фондовая биржа Джакарты (Jakarta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Фондовая биржа Йоханнесбурга (Южная Африка) (JSE Securities Exchange South Africa);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Фондовая биржа Копенгагена (Copenhagen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Фондовая биржа Люксембурга (Bourse de Luxembourg);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Фондовая биржа Мальты (Malta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Фондовая биржа Монреаля (Bourse de Montreal);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Фондовая биржа Новой Зеландии (New Zealand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Фондовая биржа Осаки (Osaka Securities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Фондовая биржа Осло (Oslo bourse);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Фондовая биржа Российской Федерации (ОАО ММВБ-РТС);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Фондовая биржа США (National Association of Securities Dealers Automated Quotation, NASDAQ);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Фондовая биржа Торонто (Toronto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Фондовая биржа Швейцарии (SWX Swiss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Франкфуртская фондовая биржа (Frankfurt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Шанхайская фондовая биржа (Shanghai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Шэньчженьская фондовая биржа (Shenchzhen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Южнокорейская фондовая биржа (Korea Stock Exchange).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 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раскрытия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лицом для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банковского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банковской гарантии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</w:t>
      </w:r>
      <w:r>
        <w:br/>
      </w:r>
      <w:r>
        <w:rPr>
          <w:rFonts w:ascii="Times New Roman"/>
          <w:b/>
          <w:i w:val="false"/>
          <w:color w:val="000000"/>
        </w:rPr>
        <w:t>международных фондовых бирж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Австрийская фондовая биржа (Wiener bourse AG);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Американская фондовая биржа (American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Бомбейская фондовая биржа (The Bombay Stock Exchange Limited, BSE);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Бразильская фондовая биржа (Bovespa);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Варшавская фондовая биржа (Warsaw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Гонконгская фондовая биржа (Hong Kong Exchanges and Clearing);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Европейская фондовая биржа "Евронекст" в Амстердаме (Euronext Amsterdam);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Европейская фондовая биржа "Евронекст" в Брюсселе (Euronext Brussels);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Европейская фондовая биржа "Евронекст" в Лиссабоне (Euronext Lisbon);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Европейская фондовая биржа "Евронекст" в Париже (Euronext Paris);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Индийская фондовая биржа (Delhi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Ирландская фондовая биржа (Irish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Итальянская фондовая биржа (Borsa Italiana SPA);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Лондонская фондовая биржа (London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Малазийская фондовая биржа (Bursa Malaysia);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Мексиканская фондовая биржа (Bolsa Mexicana de Valores, BMV);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Национальная фондовая биржа Индии (National Stock Exchange of India Limited);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Немецкая фондовая биржа (Deutsche bourse AG);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Нью-Йоркская фондовая биржа (New York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Объединенная фондовая биржа Испании (ВМЕ Spanish Exchanges);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Объединенная фондовая биржа, в состав которой входят биржи Стокгольма, Хельсинки, Таллина и Риги (Hex Integrated Markets Ltd.);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Сингапурская фондовая биржа (Singapore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Стамбульская фондовая биржа (Istanbul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Стокгольмская фондовая биржа (Stockholm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Токийская фондовая биржа (Tokyo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Филиппинская фондовая биржа (Philippine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Фондовая биржа Австралии (Australian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Фондовая биржа Афин (Athens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Фондовая биржа Джакарты (Jakarta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Фондовая биржа Йоханнесбурга (Южная Африка) (JSE Securities Exchange South Africa);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Фондовая биржа Копенгагена (Copenhagen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Фондовая биржа Люксембурга (Bourse de Luxembourg);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Фондовая биржа Мальты (Malta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Фондовая биржа Монреаля (Bourse de Montreal);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Фондовая биржа Новой Зеландии (New Zealand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Фондовая биржа Осаки (Osaka Securities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Фондовая биржа Осло (Oslo bourse);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Фондовая биржа Российской Федерации (ОАО ММВБ-РТС);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Фондовая биржа США (National Association of Securities Dealers Automated Quotation, NASDAQ);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Фондовая биржа Торонто (Toronto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Фондовая биржа Швейцарии (SWX Swiss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Франкфуртская фондовая биржа (Frankfurt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Шанхайская фондовая биржа (Shanghai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Шэньчженьская фондовая биржа (Shenchzhen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Южнокорейская фондовая биржа (Korea Stock Exchange).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 и 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утратило силу постановлением Правления Национального Банка РК от 28.11.2019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 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соблюдении</w:t>
      </w:r>
      <w:r>
        <w:br/>
      </w:r>
      <w:r>
        <w:rPr>
          <w:rFonts w:ascii="Times New Roman"/>
          <w:b/>
          <w:i w:val="false"/>
          <w:color w:val="000000"/>
        </w:rPr>
        <w:t>минимального размера собственного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утратило силу постановлением Правления Национального Банка РК от 28.11.2019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 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учредителе (участнике) заявителя</w:t>
      </w:r>
      <w:r>
        <w:br/>
      </w:r>
      <w:r>
        <w:rPr>
          <w:rFonts w:ascii="Times New Roman"/>
          <w:b/>
          <w:i w:val="false"/>
          <w:color w:val="000000"/>
        </w:rPr>
        <w:t>(для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утратило силу постановлением Правления Национального Банка РК от 28.11.2019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