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1e97" w14:textId="96e1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стоимости информационно-коммуникационных услуг для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126. Зарегистрирован в Министерстве юстиции Республики Казахстан 29 февраля 2016 года № 13321. Утратил силу приказом Министра информации и коммуникаций Республики Казахстан от 1 июня 2018 года № 249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01.06.2018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стоимости информационно-коммуникационных услуг для государственных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связи, информатизации и информации Министерства по инвестициям и развитию Республики Казахстан (Қазанғап Т.Б.)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расчета стоимости информационно-коммуникационных услуг</w:t>
      </w:r>
      <w:r>
        <w:br/>
      </w:r>
      <w:r>
        <w:rPr>
          <w:rFonts w:ascii="Times New Roman"/>
          <w:b/>
          <w:i w:val="false"/>
          <w:color w:val="000000"/>
        </w:rPr>
        <w:t>для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стоимости информационно-коммуникационных услуг для государственных органов (далее – Методика), разработана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предназначена для расчета стоимости информационно-коммуникационных услуг для государственных органов.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Информационно-коммуникационные услуги классифицируются по видам и потребителям данных услуг в соответствии с Каталогом информационно-коммуникационных услуг, утверждаемым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Каталог).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Методике используются следующие понятия и сокращения: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информационно-коммуникационная услуга (далее – ИК-услуга) – услуга или совокупность услуг по имущественному найму (аренде) и (или) размещению вычислительных ресурсов, предоставлению программного обеспечения, программных продуктов, сервисных программных продуктов и технических средств в пользование, включая услуги связи, посредством которых обеспечивается функционирование данных услуг;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первичные документы – документы первичного учета начисленных доходов и понесенных расходов, включающие в себя счета на оплату выставленные и полученные, накладные, акты выполненных работ, акты приема-передач, инвентарные карточки, платежные ведомости;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системное программное обеспечение – совокупность программ и программных комплексов для обеспечения работы прикладного программного обеспечения информационной системы и сетей передачи данных информационно-коммуникационной инфраструктуры "электронного правительства";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косвенные затраты – расходы оператора за отчетный период, в том числе расходы по фиксированным активам, которые имеют прямую причинно-следственную связь с несколькими информационно-коммуникационными услугами и подлежат распределению только между такими информационно-коммуникационными услугами, а также расходы оператора, которые связаны с деятельностью по предоставлению информационно-коммуникационные услуги и не имеют прямой причинно-следственной связи с информационно-коммуникационными услугами и требуют распределения между ними (расходы по себестоимости, расходы периода, административные расходы, прочие расходы);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услуга по аренде информационно-коммуникационной инфраструктуры – информационно-коммуникационная услуга в виде предоставления за плату во временное владение и пользование нанимателю информационно–коммуникационной инфраструктуры "электронного правительства" для размещения вычислительных ресурсов обработки, хранения, передачи информации;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сервисный программный продукт – программный продукт, предназначенный для реализации информационно-коммуникационной услуги;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информационно-коммуникационной инфраструктуры "электронного правительства" (далее –оператор)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услуга по аренде платформы – информационно-коммуникационная услуга в виде предоставления за плату во временное владение и пользование системного программного обеспечения, прикладного программного обеспечения общего назначения и стандартных решений, размещенных на информационно–коммуникационной платформе "электронного правительства";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услуга по аренде программного обеспечения - информационно-коммуникационная услуга в виде предоставления за плату во временное владение и пользование программного обеспечения и сервисных программных продуктов, размещенных на информационно-коммуникационной платформе "электронного правительства";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прямые затраты – расходы оператора за отчетный период, включая расходы по фиксированным активам, которые имеют прямую причинно-следственную связь с конкретной информационно-коммуникационная услугой (расходы по себестоимости, расходы на финансирование и другие расходы);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IAAS (infrastructure as a service) – инфраструктура как услуга;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PAAS (platform as a service) – платформа как услуга;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SAAS (software as a service) – программное обеспечение как услуга;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WACC (weight average cost of capital) – средневзвешенная стоимость капитала.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Распределение затрат осуществляется согласно распределению затрат на прямые и косвенные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Реализация ИК-услуг, оказываемых оператором государственным органам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утверждаемыми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(далее – Правила).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Основополагающими принципами Методики являются: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расчета стоимости ИК-услуг с учетом необходимого уровня покрытия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прозрачность при отнесении и распределении доходов и затрат на соответствующие ИК-услуги.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Методика не меняет порядок и форму представления оператором финансовой, управленческой и налоговой отчетности.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расчете стоимости существуют следующие виды ИК-услуги: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 по аренде информационно-коммуникационной инфраструктуры (IAAS/PAAS);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услуга по аренде программного обеспечения (SAAS), включающая в себя стоимость инфраструктуры (IAAS/PAAS).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распределения затрат (процесс отнесения затрат к определенным видам ИК-услуг), устанавливается расчетными документами участников предоставления ИК-услуг Заказчику.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стоимости информационно-коммуникационных услуг</w:t>
      </w:r>
      <w:r>
        <w:br/>
      </w:r>
      <w:r>
        <w:rPr>
          <w:rFonts w:ascii="Times New Roman"/>
          <w:b/>
          <w:i w:val="false"/>
          <w:color w:val="000000"/>
        </w:rPr>
        <w:t>для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Параграф 1. Определение расчета стоимости услуги по аренде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информационно-коммуникационной инфраструктуры (IAAS, PAAS)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 стоимости ИК-услуги за период: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084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84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IAAS/PAAS - стоимость ИК-услуги как инфраструктуры (платформа как услуга, инфраструктура как услуга);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прямые затраты за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косвенные затраты за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 – средневзвешенная стоимость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база распределения за период. В зависимости от вида предоставляемой услуги определяется в количественном либо временном измерении (одно рабочее место, абонентская плата, канал связи, объем трафика, абонентская плата за месяц, год). Показатель базы распределения может быть определен в Каталоге, в плане развития, бюджете.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Распределение косвенных затрат для каждой ИК-услуги производится оператором самостоятельно по удельному весу затрат, приходящихся на каждую ИК-услугу в общей сумме затрат по всем ИК-услугам оператора за период.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Показатель средневзвешенной стоимости капитала (WACC) используется для определения требуемого уровня рентабельности с учетом стоимости капитала и рисков и рассчитывается согласно расчету WACC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Расчет WACC производится один раз в год в период утверждения соответствующего бюджета оператора, но не позднее 3-х месяцев до дня предоставления государственными органами </w:t>
      </w:r>
      <w:r>
        <w:rPr>
          <w:rFonts w:ascii="Times New Roman"/>
          <w:b w:val="false"/>
          <w:i w:val="false"/>
          <w:color w:val="000000"/>
          <w:sz w:val="28"/>
        </w:rPr>
        <w:t>бюджетной 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информатизации на рассмотрение.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проведения расчета стоимости</w:t>
      </w:r>
      <w:r>
        <w:br/>
      </w:r>
      <w:r>
        <w:rPr>
          <w:rFonts w:ascii="Times New Roman"/>
          <w:b/>
          <w:i w:val="false"/>
          <w:color w:val="000000"/>
        </w:rPr>
        <w:t>услуги по аренде программного обеспечения (SAAS)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стоимости услуги по аренде программного обеспечения производится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718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SAAS – стоимость ИК-услуги как сервис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IAAS/PAAS – годовая стоимость аренды услуги по аренде информационно-коммуникационной инфраструктуры, приведенная к затратам по обеспечению функционирования конкретного сервисного программного продукта и рассчитываемая согласно пункту 14 настоящей Методики;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стоимость аренды сервисного программного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программный продукт имеет следующие виды: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заказной сервисный программный продукт, стоимость которого рассчитывается в соответствии с Методикой расчета и нормативы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существующий сервисный программный продукт, стоимость которого рассчитывается поставщиком исходя из рыночной конъюнктуры.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Существующий сервисный программный продукт выбирается заказчиками – потребителями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для 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затрат на прямые и косвенные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3"/>
        <w:gridCol w:w="2738"/>
        <w:gridCol w:w="2739"/>
      </w:tblGrid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нематериальных активов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основных средств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 и нма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транспортным услугам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охране труда и технике безопасности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социальной программе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от оплаты труда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нематериальных активов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основных средств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 и нма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транспортным услугам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услугам связи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оказанием благотворительной и спонсорской помощи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охране труда и технике безопасности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социальной программе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Совета директоров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выбытия активов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для 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показателя средневзвешенной стоимости капитала (WACC)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WACCUSD = Rd * Wd * (1-T) + Re * We,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(Cost of Debt) – стоимость привлечения заемных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Wd – рыночная доля заемных средств (D/(E+D),%)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(Tax Rate,%) – ставка налога на прибыль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(Cost of Equity) – стоимость собственного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We – рыночная доля собственных средств (Е/(E+D),%)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заемного капитала (Rd)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заемного капитала (Cost of Debt) принимается на уровне ставок по имеющимся кредитам оператора (при условии, что они получены на рыночных условиях). В случае отсутствия у оператора заемных средств или их нерыночных условий, при определении стоимости заемного капитала применяется средняя ставка по кредитам для нефинансовых организаций на срок более года, выданным в долларах Соединенных Штатов Америки (далее – США), на основании данных Национального Банка Республики Казахстан (Статистический бюллетень Национального Банка Республики Казахстан), либо используются среднеотраслевые значения для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рыночной доли собственных средств (We) и рыночной доли заемных средств (Wd)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дисконтирования не зависит от структуры капитала оператора и способа, с помощью которого оператор финансировал приобретение актива, поскольку будущие потоки денежных средств, ожидаемые от актива, не зависят от того, каким образом финансировано приобретение актива.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доли собственных (E/(E+D)) и заемных (D/(E+D)) средств используются среднеотраслевые значения для отрасли, из данных Статистических справочников с использованием наиболее полной базы за пятилетний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Важно: данные должны совпадать с аналогичными показателями, использованными для расчета вlev (коэффициент бета) (далее 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lev).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собственного капитала (Re)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собственного капитала рекомендуется применять САРМ (Capital Asset Pricing Model) – модифицированную модель оценки капитальных активов (далее – САРМ), позволяющей наиболее точно отразить риски, связанные с деятельностью оператора. При этом, ввиду отсутствия развитого фондового рынка в Казахстане, используются данные рынка США как наиболее развитого и представительного.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собственного капитала производится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Re = Rf +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lev * (Rm – Rf) + S1 + S2 + S3,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 – ожидаемая ставка дохода (на собственный капитал)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 – безрисковая ставка (в США)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lev – коэффициент бета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 – Rf – рыночная премия за риск инвестирования в акционерный капитал (в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 – премия за страновой риск в сравнении с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S2 – премия за малую капитализацию (размер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S3 – премия за специфический риск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стоимости собственного капитала (Re)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безрисковой ставки (Rf)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безрисковой ставки используется норма доходности по долгосрочным правительственным облигациям страны с высоким инвестиционным рейтингом со сроком погашения, равным сроку жизни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бета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Бета с учетом целевого соотношения долга и собственного капитала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lev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lev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u * [1+ (1-t) x (D/E)],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lev – коэффициент бета с учетом финансового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9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u – коэффициент бета без учета финансового риска (медианное значение коэффициента бета по сопоставимым компаниям); используются среднеотраслевые значения данного коэффициента для отрасли, рассчитанные NewYorkUniversity'sSchoolofBusiness (Damodaranon-line) или данных справочников IbbotsonAssociates, SBBI Yearbook с использованием наиболее полной базы за пятилетний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нормативная налоговая ставка в соответствии с налоговым законодательством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D/E – среднеотраслевой показатель соотношения собственных и заемных средств (например, по данным финансово-аналитического агентства Bloomberg или сайта Дамодаран)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Важно: для значений вu, D/E применяются отраслевые показатели для развивающихся рынков.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Rm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 – Долгосрочная доходность рынка акций США в целом (историческая доходность рыночного портфеля не менее чем за 40 лет). Рекомендуемые источники данных: Статистические справочники Асвата Дамодарана (http://www.Damodaran.com), Статистические справочники компании IbbotsonAssociates, SBBI Yearbook.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премии за страновой риск (S1)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Премия за страновой риск рассчитывается как текущая разница между доходностью по ценным бумагам Казахстана, выраженным в долларах, и доходностью безрискового актива (безрисковой ставки США). В связи с отсутствием государственных ценных бумаг Казахстана номинированных в иностранной валюте, необходимо использовать для расчета доходность облигаций государственных компаний Казахстана (например, БРК). Сравниваемые ценные бумаги должны быть сопоставимы по условиям выпуска и срокам обращения и не должны содержать встроенных опционов. Рекомендуемые источники данных: Информационное агентство "Cbonds.ru" (http://www.cbonds.ru); Официальный сайт Федеральной резервной системы США (http://www.federalreserve.gov).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премии за малую капитализацию (S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рассчитывается как разница между средними историческими доходностями по инвестициям на фондовом рынке США и по инвестициям в бизнес компаний в зависимости от ее капитализации.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премии за специфический риск S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Основными факторами, оказывающими влияние на специфический риск действующего предприятия,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зависимость от ключевых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корпоративного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зависимость от ключевых потребителей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зависимость от ключевых поставщиков.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расчета премии за специфический риск используется следующий алгоритм: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степени риска по каждому из приведенных выше факторов с присвоением условного балла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основе совокупного риска по всем факторам определяется значение специфического риска предприятия путем сложения всех баллов и деления полученной суммы на 4 (число факторов риска);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зависимости от полученного значения специфического риска в баллах присваивается премия за специфический риск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определения степени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0"/>
        <w:gridCol w:w="2700"/>
        <w:gridCol w:w="2700"/>
        <w:gridCol w:w="2700"/>
      </w:tblGrid>
      <w:tr>
        <w:trPr>
          <w:trHeight w:val="30" w:hRule="atLeast"/>
        </w:trPr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риска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балл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балл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ключевых сотрудников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корпоративного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ключевых потребителей услуг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ключевых поставщиков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премии за специфический риск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6226"/>
        <w:gridCol w:w="4813"/>
      </w:tblGrid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Рассчитанное значение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премии, %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но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1,75, но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</w:t>
            </w:r>
          </w:p>
        </w:tc>
      </w:tr>
      <w:tr>
        <w:trPr>
          <w:trHeight w:val="3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2,75, но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денежных потоков в тенге, должен быть произведен перевод ставки дисконтирования WACCUSD для инвестиций в тенге в соответствии с формулой: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</w:t>
      </w:r>
      <w:r>
        <w:rPr>
          <w:rFonts w:ascii="Times New Roman"/>
          <w:b w:val="false"/>
          <w:i w:val="false"/>
          <w:color w:val="000000"/>
          <w:vertAlign w:val="subscript"/>
        </w:rPr>
        <w:t>KZT</w:t>
      </w:r>
      <w:r>
        <w:rPr>
          <w:rFonts w:ascii="Times New Roman"/>
          <w:b w:val="false"/>
          <w:i w:val="false"/>
          <w:color w:val="000000"/>
          <w:sz w:val="28"/>
        </w:rPr>
        <w:t xml:space="preserve"> = (1+WACC</w:t>
      </w:r>
      <w:r>
        <w:rPr>
          <w:rFonts w:ascii="Times New Roman"/>
          <w:b w:val="false"/>
          <w:i w:val="false"/>
          <w:color w:val="000000"/>
          <w:vertAlign w:val="subscript"/>
        </w:rPr>
        <w:t>USD</w:t>
      </w:r>
      <w:r>
        <w:rPr>
          <w:rFonts w:ascii="Times New Roman"/>
          <w:b w:val="false"/>
          <w:i w:val="false"/>
          <w:color w:val="000000"/>
          <w:sz w:val="28"/>
        </w:rPr>
        <w:t>) * 1+ r</w:t>
      </w:r>
      <w:r>
        <w:rPr>
          <w:rFonts w:ascii="Times New Roman"/>
          <w:b w:val="false"/>
          <w:i w:val="false"/>
          <w:color w:val="000000"/>
          <w:vertAlign w:val="subscript"/>
        </w:rPr>
        <w:t>cur</w:t>
      </w:r>
      <w:r>
        <w:rPr>
          <w:rFonts w:ascii="Times New Roman"/>
          <w:b w:val="false"/>
          <w:i w:val="false"/>
          <w:color w:val="000000"/>
          <w:sz w:val="28"/>
        </w:rPr>
        <w:t xml:space="preserve"> /1+ r</w:t>
      </w:r>
      <w:r>
        <w:rPr>
          <w:rFonts w:ascii="Times New Roman"/>
          <w:b w:val="false"/>
          <w:i w:val="false"/>
          <w:color w:val="000000"/>
          <w:vertAlign w:val="subscript"/>
        </w:rPr>
        <w:t>usd</w:t>
      </w:r>
      <w:r>
        <w:rPr>
          <w:rFonts w:ascii="Times New Roman"/>
          <w:b w:val="false"/>
          <w:i w:val="false"/>
          <w:color w:val="000000"/>
          <w:sz w:val="28"/>
        </w:rPr>
        <w:t xml:space="preserve"> - 1,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</w:t>
      </w:r>
      <w:r>
        <w:rPr>
          <w:rFonts w:ascii="Times New Roman"/>
          <w:b w:val="false"/>
          <w:i w:val="false"/>
          <w:color w:val="000000"/>
          <w:vertAlign w:val="subscript"/>
        </w:rPr>
        <w:t>KZT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дисконтирования для инвестиций в итоговой валюте денежных потоков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WACCUSD - ставка дисконтирования для инвестиций в долларах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cur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долгосрочная инфляция в Казахстане;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usd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долгосрочная инфляция в США.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