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3b67" w14:textId="c7c3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по формированию показателей по статистике коммерческих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по статистике Министерства национальной экономики Республики Казахстан от 9 февраля 2016 года № 32. Зарегистрирован в Министерстве юстиции Республики Казахстан 5 марта 2016 года № 13408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«О государственной статистике», а также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Положения о Комитете по статистике Министерства национальной экономики Республики Казахстан, утвержденного приказом Министра национальной экономики Республики Казахстан от 30 сентября 2014 года № 33, зарегистрированным в Реестре государственной регистрации нормативных правовых актов под № 9779,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формированию показателей по статистике коммерческих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статистики услуг и энергетики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его направление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официальное опубликование в периодических печатных изданиях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информационно-правовой системе «Әділет»;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Комитета по статистике Министерства национальной экономики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статистики услуг и энергетики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(Джаркинбаев Ж.А.).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Председателя                               Б. Иманалиев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исполняющего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национальной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февраля 2016 года № 32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по формированию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показателей по статистике коммерческих услуг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Методика по формированию показателей по статистике коммерческих услуг (далее - Методика) относится к статистической методологии, формируемой в соответствии с международными стандартами и утверждаемой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«О государственной статистике».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Методика определяет основные аспекты и методы получения статистической информации о деятельности предприятий сферы коммерческих услуг при проведении общегосударственного статистического наблюдения.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Целью настоящей Методики является формирование системы статистических показателей по статистике коммерческих услуг для обеспечения их сопоставимости на международном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Настоящая Методика предназначена для использования в статистической деятельности сотрудниками Комитета по статистике Министерства национальной экономики Республики Казахстан и его территориальными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настоящей Методике используются следующие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статистика коммерческих услуг - отрасль статистики, отражающая закономерности и тенденции развития рынка коммерческих услуг, характеристику его инфраструктуры и региональных особенностей;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услуги - деятельность, направленная на удовлетворение каких-либо потребностей человека или общества в целом, осуществляемая производителями по заказу потребителей и ведущая к изменению состояния единиц, потребляющих эти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объем оказанных услуг - представляет собой стоимость оказанных услуг в размере средств, поступивших от предприятий, учреждений, населения в уплату за оказанные им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вторичный вид деятельности – вид деятельности, помимо основного, осуществляется с целью реализации товаров (услуг) для третьих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основной вид деятельности – вид деятельности, добавленная стоимость которого превышает добавленную стоимость любого другого вида деятельности, осуществляемого предприятием;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нерыночные услуги - услуги, предоставляемые институциональным единицам или обществу в целом бесплатно или по ценам, не являющимся экономически значимыми (например, предоставляемые государством, национальной обороной, обязательным социальным обеспечением и так далее);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рыночные услуги - услуги, целиком или в значительной мере покрывающие издержки производителя за счет выручки от их реализации, а не за счет государственного бюджета, добровольных взносов или государственной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индекс потребительских цен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общепризнанный показатель инфляции, характеризующий изменение во времени среднего уровня цен на фиксированную корзину товаров и услуг, приобретаемых населением для личного потребления.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Формирование статистики коммерческих услуг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статистике коммерческих услуг формируются показатели по всем видам оказываемых коммерческих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Информационной базой для формирования данных по статистике коммерческих услуг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первичные статистические данные по объему оказанных коммерческих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административные данные.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Статистика коммерческих услуг включает виды деятельности из Общего классификатора видов экономической деятельности (далее – ОКЭД).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Статистическим инструментом для формирования статистики коммерческих услуг по видам является Статистический классификатор услуг (далее - СКУ).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объем оказанных коммерческих услуг включаются все затраты по предоставлению услуг в момент их вхождения в процесс производства, а не по времени их оплаты: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стоимость сырья, основных материалов с учетом транспортно-заготовительных расходов;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стоимость покупных материалов и полуфабрикатов;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затраты на приобретение топлива, используемого для производства услуг, а также стоимость всех видов покупной энергии (электрической, тепловой, сжатого воздуха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затраты, связанные с использованием природного сырья (в части платы за древесину, отпускаемую на корню, платы за воду, забираемую из водохозяйственных систем);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стоимость работ и услуг производственного характера, выполненных сторонними субъектами;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начисленная за отчетный период сумма амортизационных отчислений по всем видам основных средств, принадлежащих субъекту на праве собственности, оперативного управления, а также долгосрочно арендуемых основных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затраты на заработную плату;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расходы на налоги и другие обязательные платежи в бюджет, командировочные, представительские расходы и благотворительную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стоимость услуг, оказанных сторонними организациями, такие как консультативные, по проведению расследований и обеспечению безопасности, реклама, услуги банков;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текущий ремонт, коммунальные услуги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объем оказанных коммерческих услуг холдинговых компаний включается вознаграждение, выплачиваемое их дочерними предприятиями за стратегическое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объем оказанных услуг не включаются: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расходы на строительство или капитальный ремонт зданий и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расходы на модернизацию и ремонт машин и оборудования с целью увеличения срока их эксплуатации и повышения производительности (такие расходы трактуются как валовое накопление основного капитала);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доходы от дочерних предприятий с местонахождением за границей;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платежи по поручению и за счет третьих лиц (предприятий);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экстраординарные и не соответствующие основной деятельности доходы (например, при изменении курса, дивидендах);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доходы от продажи собственных средств предприятия, расформирования резервов собственных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Услуги предоставляются субъектами, финансирующимися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средства государственного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средства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средства населения (как плата за полученные услуги).</w:t>
      </w:r>
    </w:p>
    <w:bookmarkEnd w:id="6"/>
    <w:bookmarkStart w:name="z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Формирование валового выпуска сферы коммерческих услуг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Валовая продукция сферы коммерческих услуг представляет собой стоимость рыночных и нерыночных услуг, оказанных всеми производителями услуг, к которым относятся предприятия, независимо от формы собственности и численности работающих, а также индивидуальные предприниматели, с учетом объемов, формируемых в сфере ненаблюдаемой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валовой продукции включаются: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общий объем услуг, формируемый на базе сводных данных общегосударственных статистических наблюдений;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объем услуг, формируемый в сфере ненаблюдаемой экономики (далее – ННЭ).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основе полученного валового выпуска продукции по каждой группе видов услуг рассчитывается коэффициент досчета на ненаблюдаемую экономику, используемый в дальнейшем для определения размера скрытой и неформальной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Валовой выпуск продукции сферы услуг исчисляется суммированием выпуска продукции учтенными предприятиями и индивидуальными предпринимателями по всем видам услуг, классифицированных по СКУ, и выпуска услуг в сфере ННЭ, рассчитываемого по видам услуг: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V</w:t>
      </w:r>
      <w:r>
        <w:rPr>
          <w:rFonts w:ascii="Times New Roman"/>
          <w:b w:val="false"/>
          <w:i w:val="false"/>
          <w:color w:val="000000"/>
          <w:vertAlign w:val="subscript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= V</w:t>
      </w:r>
      <w:r>
        <w:rPr>
          <w:rFonts w:ascii="Times New Roman"/>
          <w:b w:val="false"/>
          <w:i w:val="false"/>
          <w:color w:val="000000"/>
          <w:vertAlign w:val="subscript"/>
        </w:rPr>
        <w:t>c</w:t>
      </w:r>
      <w:r>
        <w:rPr>
          <w:rFonts w:ascii="Times New Roman"/>
          <w:b w:val="false"/>
          <w:i w:val="false"/>
          <w:color w:val="000000"/>
          <w:sz w:val="28"/>
        </w:rPr>
        <w:t xml:space="preserve"> + V</w:t>
      </w:r>
      <w:r>
        <w:rPr>
          <w:rFonts w:ascii="Times New Roman"/>
          <w:b w:val="false"/>
          <w:i w:val="false"/>
          <w:color w:val="000000"/>
          <w:vertAlign w:val="subscript"/>
        </w:rPr>
        <w:t>ic</w:t>
      </w:r>
      <w:r>
        <w:rPr>
          <w:rFonts w:ascii="Times New Roman"/>
          <w:b w:val="false"/>
          <w:i w:val="false"/>
          <w:color w:val="000000"/>
          <w:sz w:val="28"/>
        </w:rPr>
        <w:t xml:space="preserve"> + V</w:t>
      </w:r>
      <w:r>
        <w:rPr>
          <w:rFonts w:ascii="Times New Roman"/>
          <w:b w:val="false"/>
          <w:i w:val="false"/>
          <w:color w:val="000000"/>
          <w:vertAlign w:val="subscript"/>
        </w:rPr>
        <w:t>ue</w:t>
      </w:r>
      <w:r>
        <w:rPr>
          <w:rFonts w:ascii="Times New Roman"/>
          <w:b w:val="false"/>
          <w:i w:val="false"/>
          <w:color w:val="000000"/>
          <w:sz w:val="28"/>
        </w:rPr>
        <w:t>,                                        (1)</w:t>
      </w:r>
    </w:p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валовый выпуск по объему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c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услуг малых, средних и крупных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ic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услуг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ue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оценка объема услуг по ненаблюдаемой экономике.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услуг предприятий включает объем услуг отчитавшихся предприятий и оценку по объему не отчитавшихся предприятий (ненаблюдаемая экономика по статистическим причинам), а также досчет по сокрытым объемам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услуг малых, средних, крупных предприятий и индивидуальных предпринимателей формируется по итогам общегосударственных статистических наблюдений.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Процедура расчета объемов предприятий сферы услуг, не представивших отчеты, выражается следующей формулой: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Y = Xij * Uij,                                            (2)</w:t>
      </w:r>
    </w:p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Y - объем досчета,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 - индикатор вида деятельности,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J - индикатор размера предприятия,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X - средняя величина агрегата на 1 предприятие,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U - количество предприятий, не представивших отчеты.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определения объема занижения предприятиями отчетных данных устанавливается степень надежности данных, показанных в отчетах.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Степень надежности определяется соотношением объема услуг, показанных в отчетах, к фактическому объему услуг по отобранному кругу предприятий: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S = V</w:t>
      </w:r>
      <w:r>
        <w:rPr>
          <w:rFonts w:ascii="Times New Roman"/>
          <w:b w:val="false"/>
          <w:i w:val="false"/>
          <w:color w:val="000000"/>
          <w:vertAlign w:val="subscript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 xml:space="preserve"> / V</w:t>
      </w:r>
      <w:r>
        <w:rPr>
          <w:rFonts w:ascii="Times New Roman"/>
          <w:b w:val="false"/>
          <w:i w:val="false"/>
          <w:color w:val="000000"/>
          <w:vertAlign w:val="subscript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100,                                        (3)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услуг по отчетным данным,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фактический объем услуг по отобранному кругу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определения степени надежности данных осуществляется анализ всей имеющейся статистической информации, напрямую или косвенно связанной с показателем объема услуг. Для сопоставления показателей отбираются профильные предприятия, не менее 5 процентов по доле каждого вида деятельности к общему числу предприятий, не менее 30 процентов по объему услуг каждого вида деятельности от общего объема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Применяются следующие направления анализа: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сопоставляются рассчитанные относительные показатели на одного работника: объем услуг, среднемесячная заработная плата, прибыль, затраты, прибыль по отношению к затратам. Если при сопоставлении этих показателей в динамике выявляется, что число занятых не изменилось, объем услуг снизился, а заработная плата увеличилась, то объем услуг является заниженным;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сопоставляются данные об объеме услуг в расчете на одного работника, среднемесячной заработной платы (предприятия однотипными с точки зрения числа занятых и структуры оказываемых услуг). Если уровень заработной платы работников одного предприятия выше, чем в другом предприятии, а объем услуг в расчете на одного работника ниже, имеет место занижение данных объема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основе результатов анализа рассчитывается фактический объем оказанных услуг (V</w:t>
      </w:r>
      <w:r>
        <w:rPr>
          <w:rFonts w:ascii="Times New Roman"/>
          <w:b w:val="false"/>
          <w:i w:val="false"/>
          <w:color w:val="000000"/>
          <w:vertAlign w:val="subscript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) по отобранному кругу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отобранным для сопоставления предприятиям определяются данные об объеме услуг, показанные отобранными предприятиями в отчетах (V</w:t>
      </w:r>
      <w:r>
        <w:rPr>
          <w:rFonts w:ascii="Times New Roman"/>
          <w:b w:val="false"/>
          <w:i w:val="false"/>
          <w:color w:val="000000"/>
          <w:vertAlign w:val="subscript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>), и сумму выявленной неоприходованной выручки. За выручку принимается величина, на которую занижены сведения в отчете предприятия (U).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Фактический объем услуг по отобранному кругу предприятий за определенный период времени определяется: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V</w:t>
      </w:r>
      <w:r>
        <w:rPr>
          <w:rFonts w:ascii="Times New Roman"/>
          <w:b w:val="false"/>
          <w:i w:val="false"/>
          <w:color w:val="000000"/>
          <w:vertAlign w:val="subscript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 = V</w:t>
      </w:r>
      <w:r>
        <w:rPr>
          <w:rFonts w:ascii="Times New Roman"/>
          <w:b w:val="false"/>
          <w:i w:val="false"/>
          <w:color w:val="000000"/>
          <w:vertAlign w:val="subscript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 xml:space="preserve"> + U                                                  (4)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Далее по каждому виду услуг определяется степень надежности (S) статистических данных, а на ее основе коэффициенты досчета объема услуг на объемы занижения предприятиями данных в своих отчетах (К</w:t>
      </w:r>
      <w:r>
        <w:rPr>
          <w:rFonts w:ascii="Times New Roman"/>
          <w:b w:val="false"/>
          <w:i w:val="false"/>
          <w:color w:val="000000"/>
          <w:vertAlign w:val="subscript"/>
        </w:rPr>
        <w:t>u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досчета на объемы занижения предприятиями данных в своих отчетах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u</w:t>
      </w:r>
      <w:r>
        <w:rPr>
          <w:rFonts w:ascii="Times New Roman"/>
          <w:b w:val="false"/>
          <w:i w:val="false"/>
          <w:color w:val="000000"/>
          <w:sz w:val="28"/>
        </w:rPr>
        <w:t xml:space="preserve"> = 100 / S                                                 (5)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скрытого (заниженного) объема услуг в целом по всем предприятиям, представившим отчеты производится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V</w:t>
      </w:r>
      <w:r>
        <w:rPr>
          <w:rFonts w:ascii="Times New Roman"/>
          <w:b w:val="false"/>
          <w:i w:val="false"/>
          <w:color w:val="000000"/>
          <w:vertAlign w:val="subscript"/>
        </w:rPr>
        <w:t>u</w:t>
      </w:r>
      <w:r>
        <w:rPr>
          <w:rFonts w:ascii="Times New Roman"/>
          <w:b w:val="false"/>
          <w:i w:val="false"/>
          <w:color w:val="000000"/>
          <w:sz w:val="28"/>
        </w:rPr>
        <w:t xml:space="preserve"> = V</w:t>
      </w:r>
      <w:r>
        <w:rPr>
          <w:rFonts w:ascii="Times New Roman"/>
          <w:b w:val="false"/>
          <w:i w:val="false"/>
          <w:color w:val="000000"/>
          <w:vertAlign w:val="subscript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 xml:space="preserve"> х (К</w:t>
      </w:r>
      <w:r>
        <w:rPr>
          <w:rFonts w:ascii="Times New Roman"/>
          <w:b w:val="false"/>
          <w:i w:val="false"/>
          <w:color w:val="000000"/>
          <w:vertAlign w:val="subscript"/>
        </w:rPr>
        <w:t>u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1),                                          (6)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услуг по предприятиям, представившим отчеты;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u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досчета на предприятия, занизившие данные в отчетах.</w:t>
      </w:r>
    </w:p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Расчет индекса физического объема коммерческих услуг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Динамика объема услуг измеряется расчетом индексов физического объема услуг (в постоянных ценах).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 физического объема услуг показывает, как меняется объем при исключении влияния изменения цен.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расчета индекса физического объема услуг как в целом, так и по отдельным видам, сравниваются объемы отчетного и базисного периодов в постоянных ценах, то есть в ценах одного и того же периода, принятого в качестве базисного периода: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I</w:t>
      </w:r>
      <w:r>
        <w:rPr>
          <w:rFonts w:ascii="Times New Roman"/>
          <w:b w:val="false"/>
          <w:i w:val="false"/>
          <w:color w:val="000000"/>
          <w:vertAlign w:val="subscript"/>
        </w:rPr>
        <w:t>v</w:t>
      </w:r>
      <w:r>
        <w:rPr>
          <w:rFonts w:ascii="Times New Roman"/>
          <w:b w:val="false"/>
          <w:i w:val="false"/>
          <w:color w:val="000000"/>
          <w:sz w:val="28"/>
        </w:rPr>
        <w:t xml:space="preserve"> = (V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/ I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100) / V</w:t>
      </w:r>
      <w:r>
        <w:rPr>
          <w:rFonts w:ascii="Times New Roman"/>
          <w:b w:val="false"/>
          <w:i w:val="false"/>
          <w:color w:val="000000"/>
          <w:vertAlign w:val="subscript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100,                             (7)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</w:t>
      </w:r>
      <w:r>
        <w:rPr>
          <w:rFonts w:ascii="Times New Roman"/>
          <w:b w:val="false"/>
          <w:i w:val="false"/>
          <w:color w:val="000000"/>
          <w:vertAlign w:val="subscript"/>
        </w:rPr>
        <w:t>v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 физического объема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V</w:t>
      </w:r>
      <w:r>
        <w:rPr>
          <w:rFonts w:ascii="Times New Roman"/>
          <w:b w:val="false"/>
          <w:i w:val="false"/>
          <w:color w:val="000000"/>
          <w:vertAlign w:val="subscript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стоимостные объемы услуг соответственно за отчетный и базисный периоды в текущих ценах;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 I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индекс потребительских цен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услуги в отчетном периоде по сравнению с базисным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отдельным видам услуг, по которым не осуществляется разработка индексов потребительских цен (далее - ИПЦ), расчет индексов физического объема производится с использованием ИПЦ по платным услугам.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Рассматривается влияние ценового фактора только на стоимость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 физического объема рассчитывается отдельно по каждому виду деятельности услуг. Детализация видов деятельности осуществляется по двум знакам кодов ОКЭД (58, 59, 60, 62, 63, 68 – 75, 77, 78, 80 – 82, 84, 90 – 93, 95, 96).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Алгоритм расчета индекса физического объема услуг по видам: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определение индекса физического объема услуг по определенному виду деятельности с использованием ИПЦ: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I</w:t>
      </w:r>
      <w:r>
        <w:rPr>
          <w:rFonts w:ascii="Times New Roman"/>
          <w:b w:val="false"/>
          <w:i w:val="false"/>
          <w:color w:val="000000"/>
          <w:vertAlign w:val="subscript"/>
        </w:rPr>
        <w:t>va</w:t>
      </w:r>
      <w:r>
        <w:rPr>
          <w:rFonts w:ascii="Times New Roman"/>
          <w:b w:val="false"/>
          <w:i w:val="false"/>
          <w:color w:val="000000"/>
          <w:sz w:val="28"/>
        </w:rPr>
        <w:t xml:space="preserve"> = (V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vertAlign w:val="subscript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 / I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100) / V</w:t>
      </w:r>
      <w:r>
        <w:rPr>
          <w:rFonts w:ascii="Times New Roman"/>
          <w:b w:val="false"/>
          <w:i w:val="false"/>
          <w:color w:val="000000"/>
          <w:vertAlign w:val="subscript"/>
        </w:rPr>
        <w:t>ra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100,                           (8)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vertAlign w:val="subscript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>, V</w:t>
      </w:r>
      <w:r>
        <w:rPr>
          <w:rFonts w:ascii="Times New Roman"/>
          <w:b w:val="false"/>
          <w:i w:val="false"/>
          <w:color w:val="000000"/>
          <w:vertAlign w:val="subscript"/>
        </w:rPr>
        <w:t>ra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стоимостные объемы услуг соответственно за отчетный и базисный периоды в текущих ценах по определенному виду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взвешенного индекса физического объема услуг по определенному виду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I</w:t>
      </w:r>
      <w:r>
        <w:rPr>
          <w:rFonts w:ascii="Times New Roman"/>
          <w:b w:val="false"/>
          <w:i w:val="false"/>
          <w:color w:val="000000"/>
          <w:vertAlign w:val="subscript"/>
        </w:rPr>
        <w:t>s1</w:t>
      </w:r>
      <w:r>
        <w:rPr>
          <w:rFonts w:ascii="Times New Roman"/>
          <w:b w:val="false"/>
          <w:i w:val="false"/>
          <w:color w:val="000000"/>
          <w:sz w:val="28"/>
        </w:rPr>
        <w:t>=( I</w:t>
      </w:r>
      <w:r>
        <w:rPr>
          <w:rFonts w:ascii="Times New Roman"/>
          <w:b w:val="false"/>
          <w:i w:val="false"/>
          <w:color w:val="000000"/>
          <w:vertAlign w:val="subscript"/>
        </w:rPr>
        <w:t>va</w:t>
      </w:r>
      <w:r>
        <w:rPr>
          <w:rFonts w:ascii="Times New Roman"/>
          <w:b w:val="false"/>
          <w:i w:val="false"/>
          <w:color w:val="000000"/>
          <w:sz w:val="28"/>
        </w:rPr>
        <w:t xml:space="preserve"> х D</w:t>
      </w:r>
      <w:r>
        <w:rPr>
          <w:rFonts w:ascii="Times New Roman"/>
          <w:b w:val="false"/>
          <w:i w:val="false"/>
          <w:color w:val="000000"/>
          <w:vertAlign w:val="subscript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>)/100,                                         (9)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</w:t>
      </w:r>
      <w:r>
        <w:rPr>
          <w:rFonts w:ascii="Times New Roman"/>
          <w:b w:val="false"/>
          <w:i w:val="false"/>
          <w:color w:val="000000"/>
          <w:vertAlign w:val="subscript"/>
        </w:rPr>
        <w:t>s1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взвешенный индекс физического объема услуг по определенному виду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</w:t>
      </w:r>
      <w:r>
        <w:rPr>
          <w:rFonts w:ascii="Times New Roman"/>
          <w:b w:val="false"/>
          <w:i w:val="false"/>
          <w:color w:val="000000"/>
          <w:vertAlign w:val="subscript"/>
        </w:rPr>
        <w:t>va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 физического объема по определенному виду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</w:t>
      </w:r>
      <w:r>
        <w:rPr>
          <w:rFonts w:ascii="Times New Roman"/>
          <w:b w:val="false"/>
          <w:i w:val="false"/>
          <w:color w:val="000000"/>
          <w:vertAlign w:val="subscript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доля определенного вида деятельности в общем объеме услуг в базисном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определение средневзвешенного индекса физического объема услуг путем суммирования взвешенных индексов физического объема услуг по каждому виду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I</w:t>
      </w:r>
      <w:r>
        <w:rPr>
          <w:rFonts w:ascii="Times New Roman"/>
          <w:b w:val="false"/>
          <w:i w:val="false"/>
          <w:color w:val="000000"/>
          <w:vertAlign w:val="subscript"/>
        </w:rPr>
        <w:t>vt</w:t>
      </w:r>
      <w:r>
        <w:rPr>
          <w:rFonts w:ascii="Times New Roman"/>
          <w:b w:val="false"/>
          <w:i w:val="false"/>
          <w:color w:val="000000"/>
          <w:sz w:val="28"/>
        </w:rPr>
        <w:t xml:space="preserve"> = I</w:t>
      </w:r>
      <w:r>
        <w:rPr>
          <w:rFonts w:ascii="Times New Roman"/>
          <w:b w:val="false"/>
          <w:i w:val="false"/>
          <w:color w:val="000000"/>
          <w:vertAlign w:val="subscript"/>
        </w:rPr>
        <w:t>s1</w:t>
      </w:r>
      <w:r>
        <w:rPr>
          <w:rFonts w:ascii="Times New Roman"/>
          <w:b w:val="false"/>
          <w:i w:val="false"/>
          <w:color w:val="000000"/>
          <w:sz w:val="28"/>
        </w:rPr>
        <w:t>+ I</w:t>
      </w:r>
      <w:r>
        <w:rPr>
          <w:rFonts w:ascii="Times New Roman"/>
          <w:b w:val="false"/>
          <w:i w:val="false"/>
          <w:color w:val="000000"/>
          <w:vertAlign w:val="subscript"/>
        </w:rPr>
        <w:t>s2</w:t>
      </w:r>
      <w:r>
        <w:rPr>
          <w:rFonts w:ascii="Times New Roman"/>
          <w:b w:val="false"/>
          <w:i w:val="false"/>
          <w:color w:val="000000"/>
          <w:sz w:val="28"/>
        </w:rPr>
        <w:t xml:space="preserve"> + …+ I</w:t>
      </w:r>
      <w:r>
        <w:rPr>
          <w:rFonts w:ascii="Times New Roman"/>
          <w:b w:val="false"/>
          <w:i w:val="false"/>
          <w:color w:val="000000"/>
          <w:vertAlign w:val="subscript"/>
        </w:rPr>
        <w:t>ci</w:t>
      </w:r>
      <w:r>
        <w:rPr>
          <w:rFonts w:ascii="Times New Roman"/>
          <w:b w:val="false"/>
          <w:i w:val="false"/>
          <w:color w:val="000000"/>
          <w:sz w:val="28"/>
        </w:rPr>
        <w:t>.                                    (10).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