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49a5" w14:textId="a7f4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2016 года № 61. Зарегистрировано в Министерстве юстиции Республики Казахстан 22 апреля 2016 года № 13617.</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14 января 2016 года "</w:t>
      </w:r>
      <w:r>
        <w:rPr>
          <w:rFonts w:ascii="Times New Roman"/>
          <w:b w:val="false"/>
          <w:i w:val="false"/>
          <w:color w:val="000000"/>
          <w:sz w:val="28"/>
        </w:rPr>
        <w:t>О драгоценных металлах и драгоценных камнях</w:t>
      </w:r>
      <w:r>
        <w:rPr>
          <w:rFonts w:ascii="Times New Roman"/>
          <w:b w:val="false"/>
          <w:i w:val="false"/>
          <w:color w:val="000000"/>
          <w:sz w:val="28"/>
        </w:rPr>
        <w:t xml:space="preserve">" в целях совершенствования порядка реализации Национальным Банком Республики Казахстан приоритетного права государства на приобретение аффинированного золота для пополнения активов в драгоценных металлах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приоритетного права государства на приобретение аффинированного золота для пополнения активов в драгоценных металлах.</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241 "Об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 (зарегистрированное в Реестре государственной регистрации нормативных правовых актов под № 7955, опубликованное 14 ноября 2012 года в газете "Казахстанская правда" № 394-395 (27213-27214);</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12 "О внесении изменений в постановление Правления Национального Банка Республики Казахстан от 24 августа 2012 года № 241 "Об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 (зарегистрированное в Реестре государственной регистрации нормативных правовых актов под № 9178, опубликованное 13 марта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Start w:name="z4" w:id="3"/>
    <w:p>
      <w:pPr>
        <w:spacing w:after="0"/>
        <w:ind w:left="0"/>
        <w:jc w:val="both"/>
      </w:pPr>
      <w:r>
        <w:rPr>
          <w:rFonts w:ascii="Times New Roman"/>
          <w:b w:val="false"/>
          <w:i w:val="false"/>
          <w:color w:val="000000"/>
          <w:sz w:val="28"/>
        </w:rPr>
        <w:t>
      3. Департаменту монетарных операций (Молдабекова А.М.)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___________________ А. Исекешев   </w:t>
      </w:r>
    </w:p>
    <w:p>
      <w:pPr>
        <w:spacing w:after="0"/>
        <w:ind w:left="0"/>
        <w:jc w:val="both"/>
      </w:pPr>
      <w:r>
        <w:rPr>
          <w:rFonts w:ascii="Times New Roman"/>
          <w:b w:val="false"/>
          <w:i w:val="false"/>
          <w:color w:val="000000"/>
          <w:sz w:val="28"/>
        </w:rPr>
        <w:t>
      24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февраля 2016 года № 61 </w:t>
            </w:r>
          </w:p>
        </w:tc>
      </w:tr>
    </w:tbl>
    <w:bookmarkStart w:name="z9" w:id="7"/>
    <w:p>
      <w:pPr>
        <w:spacing w:after="0"/>
        <w:ind w:left="0"/>
        <w:jc w:val="left"/>
      </w:pPr>
      <w:r>
        <w:rPr>
          <w:rFonts w:ascii="Times New Roman"/>
          <w:b/>
          <w:i w:val="false"/>
          <w:color w:val="000000"/>
        </w:rPr>
        <w:t xml:space="preserve"> Правила реализации приоритетного права государства на</w:t>
      </w:r>
      <w:r>
        <w:br/>
      </w:r>
      <w:r>
        <w:rPr>
          <w:rFonts w:ascii="Times New Roman"/>
          <w:b/>
          <w:i w:val="false"/>
          <w:color w:val="000000"/>
        </w:rPr>
        <w:t>приобретение аффинированного золота для пополнения активов в</w:t>
      </w:r>
      <w:r>
        <w:br/>
      </w:r>
      <w:r>
        <w:rPr>
          <w:rFonts w:ascii="Times New Roman"/>
          <w:b/>
          <w:i w:val="false"/>
          <w:color w:val="000000"/>
        </w:rPr>
        <w:t>драгоценных металлах</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1. Настоящие Правила реализации приоритетного права государства на приобретение аффинированного золота для пополнения активов в драгоценных металлах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14 января 2016 года "</w:t>
      </w:r>
      <w:r>
        <w:rPr>
          <w:rFonts w:ascii="Times New Roman"/>
          <w:b w:val="false"/>
          <w:i w:val="false"/>
          <w:color w:val="000000"/>
          <w:sz w:val="28"/>
        </w:rPr>
        <w:t>О драгоценных металлах и драгоценных камнях</w:t>
      </w:r>
      <w:r>
        <w:rPr>
          <w:rFonts w:ascii="Times New Roman"/>
          <w:b w:val="false"/>
          <w:i w:val="false"/>
          <w:color w:val="000000"/>
          <w:sz w:val="28"/>
        </w:rPr>
        <w:t>" (далее – Закон о драгоценных металлах и драгоценных камнях) и определяют порядок реализации Национальным Банком Республики Казахстан (далее – Национальный Банк) приоритетного права государства на приобретение аффинированного золота для пополнения активов в драгоценных металлах (далее – приоритетное право).</w:t>
      </w:r>
    </w:p>
    <w:bookmarkEnd w:id="8"/>
    <w:bookmarkStart w:name="z11" w:id="9"/>
    <w:p>
      <w:pPr>
        <w:spacing w:after="0"/>
        <w:ind w:left="0"/>
        <w:jc w:val="both"/>
      </w:pPr>
      <w:r>
        <w:rPr>
          <w:rFonts w:ascii="Times New Roman"/>
          <w:b w:val="false"/>
          <w:i w:val="false"/>
          <w:color w:val="000000"/>
          <w:sz w:val="28"/>
        </w:rPr>
        <w:t>
      2. Активы в драгоценных металлах, для пополнения которых приобретается аффинированное золото, являются составной частью золотовалютных активов Национального Банка.</w:t>
      </w:r>
    </w:p>
    <w:bookmarkEnd w:id="9"/>
    <w:bookmarkStart w:name="z12" w:id="10"/>
    <w:p>
      <w:pPr>
        <w:spacing w:after="0"/>
        <w:ind w:left="0"/>
        <w:jc w:val="left"/>
      </w:pPr>
      <w:r>
        <w:rPr>
          <w:rFonts w:ascii="Times New Roman"/>
          <w:b/>
          <w:i w:val="false"/>
          <w:color w:val="000000"/>
        </w:rPr>
        <w:t xml:space="preserve"> 2. Основные понятия, используемые в Правилах</w:t>
      </w:r>
    </w:p>
    <w:bookmarkEnd w:id="10"/>
    <w:bookmarkStart w:name="z13" w:id="11"/>
    <w:p>
      <w:pPr>
        <w:spacing w:after="0"/>
        <w:ind w:left="0"/>
        <w:jc w:val="both"/>
      </w:pPr>
      <w:r>
        <w:rPr>
          <w:rFonts w:ascii="Times New Roman"/>
          <w:b w:val="false"/>
          <w:i w:val="false"/>
          <w:color w:val="000000"/>
          <w:sz w:val="28"/>
        </w:rPr>
        <w:t>
      3. В целях Правил используются следующие понятия:</w:t>
      </w:r>
    </w:p>
    <w:bookmarkEnd w:id="11"/>
    <w:bookmarkStart w:name="z14" w:id="12"/>
    <w:p>
      <w:pPr>
        <w:spacing w:after="0"/>
        <w:ind w:left="0"/>
        <w:jc w:val="both"/>
      </w:pPr>
      <w:r>
        <w:rPr>
          <w:rFonts w:ascii="Times New Roman"/>
          <w:b w:val="false"/>
          <w:i w:val="false"/>
          <w:color w:val="000000"/>
          <w:sz w:val="28"/>
        </w:rPr>
        <w:t xml:space="preserve">
      1) аффинированное золото – золото, полученное в результате </w:t>
      </w:r>
      <w:r>
        <w:rPr>
          <w:rFonts w:ascii="Times New Roman"/>
          <w:b w:val="false"/>
          <w:i w:val="false"/>
          <w:color w:val="000000"/>
          <w:sz w:val="28"/>
        </w:rPr>
        <w:t>аффинажа</w:t>
      </w:r>
      <w:r>
        <w:rPr>
          <w:rFonts w:ascii="Times New Roman"/>
          <w:b w:val="false"/>
          <w:i w:val="false"/>
          <w:color w:val="000000"/>
          <w:sz w:val="28"/>
        </w:rPr>
        <w:t xml:space="preserve"> и представленное в виде:</w:t>
      </w:r>
    </w:p>
    <w:bookmarkEnd w:id="12"/>
    <w:p>
      <w:pPr>
        <w:spacing w:after="0"/>
        <w:ind w:left="0"/>
        <w:jc w:val="both"/>
      </w:pPr>
      <w:r>
        <w:rPr>
          <w:rFonts w:ascii="Times New Roman"/>
          <w:b w:val="false"/>
          <w:i w:val="false"/>
          <w:color w:val="000000"/>
          <w:sz w:val="28"/>
        </w:rPr>
        <w:t>
      слитков производства государств-участников Евразийского экономического союза, соответствующих установленным требованиям в государствах-участниках Евразийского экономического союза либо международным стандартам,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w:t>
      </w:r>
    </w:p>
    <w:p>
      <w:pPr>
        <w:spacing w:after="0"/>
        <w:ind w:left="0"/>
        <w:jc w:val="both"/>
      </w:pPr>
      <w:r>
        <w:rPr>
          <w:rFonts w:ascii="Times New Roman"/>
          <w:b w:val="false"/>
          <w:i w:val="false"/>
          <w:color w:val="000000"/>
          <w:sz w:val="28"/>
        </w:rPr>
        <w:t>
      слитков иностранного производства, изготовленных, клейменных и сертифицированных в соответствии с законодательством страны происхождения либо международными стандартами, принятыми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w:t>
      </w:r>
    </w:p>
    <w:p>
      <w:pPr>
        <w:spacing w:after="0"/>
        <w:ind w:left="0"/>
        <w:jc w:val="both"/>
      </w:pPr>
      <w:r>
        <w:rPr>
          <w:rFonts w:ascii="Times New Roman"/>
          <w:b w:val="false"/>
          <w:i w:val="false"/>
          <w:color w:val="000000"/>
          <w:sz w:val="28"/>
        </w:rPr>
        <w:t xml:space="preserve">
      мерных слитков, пластин, гранул, порошка и других форм, с содержанием химически чистого золота не менее 995 частей на 1000, за исключением изделий, указанных в таблице 3 раздела 2.10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являющегося </w:t>
      </w:r>
      <w:r>
        <w:rPr>
          <w:rFonts w:ascii="Times New Roman"/>
          <w:b w:val="false"/>
          <w:i w:val="false"/>
          <w:color w:val="000000"/>
          <w:sz w:val="28"/>
        </w:rPr>
        <w:t>приложением № 2</w:t>
      </w:r>
      <w:r>
        <w:rPr>
          <w:rFonts w:ascii="Times New Roman"/>
          <w:b w:val="false"/>
          <w:i w:val="false"/>
          <w:color w:val="000000"/>
          <w:sz w:val="28"/>
        </w:rPr>
        <w:t xml:space="preserve"> к Решению Коллегии Евразийской экономической комиссии от 21 апреля 2015 года № 30 "О мерах нетарифного регулирования";</w:t>
      </w:r>
    </w:p>
    <w:bookmarkStart w:name="z15" w:id="13"/>
    <w:p>
      <w:pPr>
        <w:spacing w:after="0"/>
        <w:ind w:left="0"/>
        <w:jc w:val="both"/>
      </w:pPr>
      <w:r>
        <w:rPr>
          <w:rFonts w:ascii="Times New Roman"/>
          <w:b w:val="false"/>
          <w:i w:val="false"/>
          <w:color w:val="000000"/>
          <w:sz w:val="28"/>
        </w:rPr>
        <w:t>
      2) испытания аффинированного золота – комплекс работ, проводимых с целью установления количественных и качественных характеристик аффинированного золота;</w:t>
      </w:r>
    </w:p>
    <w:bookmarkEnd w:id="13"/>
    <w:bookmarkStart w:name="z16" w:id="14"/>
    <w:p>
      <w:pPr>
        <w:spacing w:after="0"/>
        <w:ind w:left="0"/>
        <w:jc w:val="both"/>
      </w:pPr>
      <w:r>
        <w:rPr>
          <w:rFonts w:ascii="Times New Roman"/>
          <w:b w:val="false"/>
          <w:i w:val="false"/>
          <w:color w:val="000000"/>
          <w:sz w:val="28"/>
        </w:rPr>
        <w:t>
      3) реализация приоритетного права – покупка Национальным Банком аффинированного золота напрямую у клиентов;</w:t>
      </w:r>
    </w:p>
    <w:bookmarkEnd w:id="14"/>
    <w:bookmarkStart w:name="z17" w:id="15"/>
    <w:p>
      <w:pPr>
        <w:spacing w:after="0"/>
        <w:ind w:left="0"/>
        <w:jc w:val="both"/>
      </w:pPr>
      <w:r>
        <w:rPr>
          <w:rFonts w:ascii="Times New Roman"/>
          <w:b w:val="false"/>
          <w:i w:val="false"/>
          <w:color w:val="000000"/>
          <w:sz w:val="28"/>
        </w:rPr>
        <w:t>
      4) бид-аск (bid-ask) спред – разница между ценой приобретения и продажи на международном рынке;</w:t>
      </w:r>
    </w:p>
    <w:bookmarkEnd w:id="15"/>
    <w:bookmarkStart w:name="z18" w:id="16"/>
    <w:p>
      <w:pPr>
        <w:spacing w:after="0"/>
        <w:ind w:left="0"/>
        <w:jc w:val="both"/>
      </w:pPr>
      <w:r>
        <w:rPr>
          <w:rFonts w:ascii="Times New Roman"/>
          <w:b w:val="false"/>
          <w:i w:val="false"/>
          <w:color w:val="000000"/>
          <w:sz w:val="28"/>
        </w:rPr>
        <w:t>
      5) клиенты – субъекты производства драгоценных металлов и лица, ставшие собственниками аффинированного золота в результате переработки, которые при реализации аффинированного золота в приоритетном порядке предлагают его Национальному Банку;</w:t>
      </w:r>
    </w:p>
    <w:bookmarkEnd w:id="16"/>
    <w:bookmarkStart w:name="z19" w:id="17"/>
    <w:p>
      <w:pPr>
        <w:spacing w:after="0"/>
        <w:ind w:left="0"/>
        <w:jc w:val="both"/>
      </w:pPr>
      <w:r>
        <w:rPr>
          <w:rFonts w:ascii="Times New Roman"/>
          <w:b w:val="false"/>
          <w:i w:val="false"/>
          <w:color w:val="000000"/>
          <w:sz w:val="28"/>
        </w:rPr>
        <w:t>
      6) лимит приобретения – максимально возможный объем покупки Национальным Банком аффинированного золота за определенный период в рамках реализации приоритетного права;</w:t>
      </w:r>
    </w:p>
    <w:bookmarkEnd w:id="17"/>
    <w:bookmarkStart w:name="z20" w:id="18"/>
    <w:p>
      <w:pPr>
        <w:spacing w:after="0"/>
        <w:ind w:left="0"/>
        <w:jc w:val="both"/>
      </w:pPr>
      <w:r>
        <w:rPr>
          <w:rFonts w:ascii="Times New Roman"/>
          <w:b w:val="false"/>
          <w:i w:val="false"/>
          <w:color w:val="000000"/>
          <w:sz w:val="28"/>
        </w:rPr>
        <w:t>
      7) торговый тикет (паспорт сделки) – подписываемый сторонами сделки документ, содержащий все существенные условия и параметры поставки конкретного лота аффинированного золота, согласно заключенному договору об общих условиях купли-продажи аффинированного золота для пополнения активов в драгоценных металлах;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уполномоченный орган – центральный исполнительный орган, осуществляющий руководство,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межотраслевую координацию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22" w:id="19"/>
    <w:p>
      <w:pPr>
        <w:spacing w:after="0"/>
        <w:ind w:left="0"/>
        <w:jc w:val="left"/>
      </w:pPr>
      <w:r>
        <w:rPr>
          <w:rFonts w:ascii="Times New Roman"/>
          <w:b/>
          <w:i w:val="false"/>
          <w:color w:val="000000"/>
        </w:rPr>
        <w:t xml:space="preserve"> 3. Реализация приоритетного права</w:t>
      </w:r>
    </w:p>
    <w:bookmarkEnd w:id="19"/>
    <w:bookmarkStart w:name="z23" w:id="20"/>
    <w:p>
      <w:pPr>
        <w:spacing w:after="0"/>
        <w:ind w:left="0"/>
        <w:jc w:val="both"/>
      </w:pPr>
      <w:r>
        <w:rPr>
          <w:rFonts w:ascii="Times New Roman"/>
          <w:b w:val="false"/>
          <w:i w:val="false"/>
          <w:color w:val="000000"/>
          <w:sz w:val="28"/>
        </w:rPr>
        <w:t>
      4. Клиенты представляют в Национальный Банк графики прогноза производства и продажи аффинированного золота на первое полугодие будущего года до 1 ноября текущего года, на второе полугодие текущего года – до 1 мая текущего года.</w:t>
      </w:r>
    </w:p>
    <w:bookmarkEnd w:id="20"/>
    <w:bookmarkStart w:name="z24" w:id="21"/>
    <w:p>
      <w:pPr>
        <w:spacing w:after="0"/>
        <w:ind w:left="0"/>
        <w:jc w:val="both"/>
      </w:pPr>
      <w:r>
        <w:rPr>
          <w:rFonts w:ascii="Times New Roman"/>
          <w:b w:val="false"/>
          <w:i w:val="false"/>
          <w:color w:val="000000"/>
          <w:sz w:val="28"/>
        </w:rPr>
        <w:t xml:space="preserve">
      5. Уполномоченный орган в целях обеспечения субъектов производства ювелирных и других изделий из драгоценных металлов и драгоценных камней сырьем представляет в Национальный Банк в разрезе клиентов на каждое полугодие информацию об объемах аффинированного золота, которые клиенты планируют реализовать </w:t>
      </w:r>
      <w:r>
        <w:rPr>
          <w:rFonts w:ascii="Times New Roman"/>
          <w:b w:val="false"/>
          <w:i w:val="false"/>
          <w:color w:val="000000"/>
          <w:sz w:val="28"/>
        </w:rPr>
        <w:t>субъектам производства</w:t>
      </w:r>
      <w:r>
        <w:rPr>
          <w:rFonts w:ascii="Times New Roman"/>
          <w:b w:val="false"/>
          <w:i w:val="false"/>
          <w:color w:val="000000"/>
          <w:sz w:val="28"/>
        </w:rPr>
        <w:t xml:space="preserve"> ювелирных изделий и других изделий из драгоценных металлов и драгоценных камней.</w:t>
      </w:r>
    </w:p>
    <w:bookmarkEnd w:id="21"/>
    <w:p>
      <w:pPr>
        <w:spacing w:after="0"/>
        <w:ind w:left="0"/>
        <w:jc w:val="both"/>
      </w:pPr>
      <w:r>
        <w:rPr>
          <w:rFonts w:ascii="Times New Roman"/>
          <w:b w:val="false"/>
          <w:i w:val="false"/>
          <w:color w:val="000000"/>
          <w:sz w:val="28"/>
        </w:rPr>
        <w:t>
      Информация, указанная в части первой настоящего пункта, в Национальный Банк представляется на первое полугодие будущего года до 1 ноября текущего года, на второе полугодие текущего года – до 1 мая текущего года.</w:t>
      </w:r>
    </w:p>
    <w:bookmarkStart w:name="z25" w:id="22"/>
    <w:p>
      <w:pPr>
        <w:spacing w:after="0"/>
        <w:ind w:left="0"/>
        <w:jc w:val="both"/>
      </w:pPr>
      <w:r>
        <w:rPr>
          <w:rFonts w:ascii="Times New Roman"/>
          <w:b w:val="false"/>
          <w:i w:val="false"/>
          <w:color w:val="000000"/>
          <w:sz w:val="28"/>
        </w:rPr>
        <w:t xml:space="preserve">
      6. Председатель Национального Банка, основываясь на прогнозе производства и продажи аффинированного золота, состоянии денежного рынка, показателях денежно-кредитной политики и конъюнктуры международных финансовых рынков,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9 Закона о драгоценных металлах и драгоценных камнях утверждает лимит приобретения в рамках реализации приоритетного права на предстоящее полугодие либо принимает решение о нереализации приоритетного права на предстоящий период (от месяца до полугодия).</w:t>
      </w:r>
    </w:p>
    <w:bookmarkEnd w:id="22"/>
    <w:p>
      <w:pPr>
        <w:spacing w:after="0"/>
        <w:ind w:left="0"/>
        <w:jc w:val="both"/>
      </w:pPr>
      <w:r>
        <w:rPr>
          <w:rFonts w:ascii="Times New Roman"/>
          <w:b w:val="false"/>
          <w:i w:val="false"/>
          <w:color w:val="000000"/>
          <w:sz w:val="28"/>
        </w:rPr>
        <w:t>
      В случае принятия решения о нереализации приоритетного права на предстоящий период (от месяца до полугодия), указанное решение в течение пяти рабочих дней со дня его принятия публикуется на официальном интернет-ресурсе Национального Банка.</w:t>
      </w:r>
    </w:p>
    <w:bookmarkStart w:name="z26" w:id="23"/>
    <w:p>
      <w:pPr>
        <w:spacing w:after="0"/>
        <w:ind w:left="0"/>
        <w:jc w:val="both"/>
      </w:pPr>
      <w:r>
        <w:rPr>
          <w:rFonts w:ascii="Times New Roman"/>
          <w:b w:val="false"/>
          <w:i w:val="false"/>
          <w:color w:val="000000"/>
          <w:sz w:val="28"/>
        </w:rPr>
        <w:t>
      7. В рамках утвержденного лимита приобретения Национальный Банк определяет объем аффинированного золота, который будет приобретен в предстоящем полугодии у конкретного клиента, предоставившего график прогноза производства и продажи аффинированного золота, с резервированием объемов аффинированного золота для субъектов производства ювелирных и других изделий из драгоценных металлов и драгоценных камней на основании информации, представленной в Национальный Банк в соответствии с пунктом 5 Правил. Объемы приобретения аффинированного золота или решение об отказе от реализации приоритетного права на предстоящий период доводятся до сведения клиентов на первое полугодие будущего года до 1 декабря текущего года, на второе полугодие текущего года – до 1 июня текущего года.</w:t>
      </w:r>
    </w:p>
    <w:bookmarkEnd w:id="23"/>
    <w:bookmarkStart w:name="z27" w:id="24"/>
    <w:p>
      <w:pPr>
        <w:spacing w:after="0"/>
        <w:ind w:left="0"/>
        <w:jc w:val="both"/>
      </w:pPr>
      <w:r>
        <w:rPr>
          <w:rFonts w:ascii="Times New Roman"/>
          <w:b w:val="false"/>
          <w:i w:val="false"/>
          <w:color w:val="000000"/>
          <w:sz w:val="28"/>
        </w:rPr>
        <w:t>
      8. В случае если ожидаемый объем производства и продажи аффинированного золота превысит объем производства и продажи аффинированного золота, доведенный до Национального Банка в соответствии с пунктом 4 Правил, клиенты дополнительно представляют в Национальный Банк измененные графики прогноза производства и продажи аффинированного золота.</w:t>
      </w:r>
    </w:p>
    <w:bookmarkEnd w:id="24"/>
    <w:p>
      <w:pPr>
        <w:spacing w:after="0"/>
        <w:ind w:left="0"/>
        <w:jc w:val="both"/>
      </w:pPr>
      <w:r>
        <w:rPr>
          <w:rFonts w:ascii="Times New Roman"/>
          <w:b w:val="false"/>
          <w:i w:val="false"/>
          <w:color w:val="000000"/>
          <w:sz w:val="28"/>
        </w:rPr>
        <w:t>
      В течение пятнадцати рабочих дней со дня получения измененного графика прогноза производства и продажи аффинированного золота Национальный Банк доводит до клиента соответственно измененный объем приобретения аффинированного золота или сообщает об оставлении без изменений ранее доведенного до сведения клиента объема приобретения аффинированного золота путем направления отказа от приобретения нового объема в соответствии с измененным графиком.</w:t>
      </w:r>
    </w:p>
    <w:bookmarkStart w:name="z28" w:id="25"/>
    <w:p>
      <w:pPr>
        <w:spacing w:after="0"/>
        <w:ind w:left="0"/>
        <w:jc w:val="both"/>
      </w:pPr>
      <w:r>
        <w:rPr>
          <w:rFonts w:ascii="Times New Roman"/>
          <w:b w:val="false"/>
          <w:i w:val="false"/>
          <w:color w:val="000000"/>
          <w:sz w:val="28"/>
        </w:rPr>
        <w:t>
      9. Национальный Банк отказывается от реализации приоритетного права в случаях достижения лимита приобретения и (или) при наличии принятого решения о нереализации приоритетного права на предстоящий период в соответствии с частью первой пункта 6 Правил.</w:t>
      </w:r>
    </w:p>
    <w:bookmarkEnd w:id="25"/>
    <w:bookmarkStart w:name="z29" w:id="26"/>
    <w:p>
      <w:pPr>
        <w:spacing w:after="0"/>
        <w:ind w:left="0"/>
        <w:jc w:val="both"/>
      </w:pPr>
      <w:r>
        <w:rPr>
          <w:rFonts w:ascii="Times New Roman"/>
          <w:b w:val="false"/>
          <w:i w:val="false"/>
          <w:color w:val="000000"/>
          <w:sz w:val="28"/>
        </w:rPr>
        <w:t>
      10. Основания, предусмотренные в пункте 9 Правил, не применяются в отношении клиентов, указанных в пунктах 7 и 8 Правил, в пределах доведенных до них объемов приобретения аффинированного золота.</w:t>
      </w:r>
    </w:p>
    <w:bookmarkEnd w:id="26"/>
    <w:bookmarkStart w:name="z30" w:id="27"/>
    <w:p>
      <w:pPr>
        <w:spacing w:after="0"/>
        <w:ind w:left="0"/>
        <w:jc w:val="both"/>
      </w:pPr>
      <w:r>
        <w:rPr>
          <w:rFonts w:ascii="Times New Roman"/>
          <w:b w:val="false"/>
          <w:i w:val="false"/>
          <w:color w:val="000000"/>
          <w:sz w:val="28"/>
        </w:rPr>
        <w:t>
      11. Покупка аффинированного золота осуществляется на основе заключенного Национальным Банком с клиентом договора об общих условиях купли-продажи аффинированного золота для пополнения активов в драгоценных металлах и торгового тикета (паспорта сделки), оформляемого на конкретный лот приобретаемого аффинированного золота.</w:t>
      </w:r>
    </w:p>
    <w:bookmarkEnd w:id="27"/>
    <w:bookmarkStart w:name="z31" w:id="28"/>
    <w:p>
      <w:pPr>
        <w:spacing w:after="0"/>
        <w:ind w:left="0"/>
        <w:jc w:val="both"/>
      </w:pPr>
      <w:r>
        <w:rPr>
          <w:rFonts w:ascii="Times New Roman"/>
          <w:b w:val="false"/>
          <w:i w:val="false"/>
          <w:color w:val="000000"/>
          <w:sz w:val="28"/>
        </w:rPr>
        <w:t>
      12. Оплата аффинированного золота, приобретаемого Национальным Банком у клиентов в соответствии с договором об общих условиях купли-продажи аффинированного золота для пополнения активов в драгоценных металлах, осуществляется после поставки аффинированного золота клиентом и (или) путем предварительной оплаты будущих поставок аффинированного золота на основании представленных клиентом документов о приеме на аффинаж сырья, содержащего золото.</w:t>
      </w:r>
    </w:p>
    <w:bookmarkEnd w:id="28"/>
    <w:bookmarkStart w:name="z32" w:id="29"/>
    <w:p>
      <w:pPr>
        <w:spacing w:after="0"/>
        <w:ind w:left="0"/>
        <w:jc w:val="both"/>
      </w:pPr>
      <w:r>
        <w:rPr>
          <w:rFonts w:ascii="Times New Roman"/>
          <w:b w:val="false"/>
          <w:i w:val="false"/>
          <w:color w:val="000000"/>
          <w:sz w:val="28"/>
        </w:rPr>
        <w:t>
      13. Предварительная оплата будущих поставок аффинированного золота в качестве способа взаиморасчетов применяется только к клиентам, обратившимся в Национальный Банк с предложением на применение к себе предварительной оплаты будущих поставок аффинированного золота в качестве способа взаиморасчетов и соответствующим одновременно следующим критериям:</w:t>
      </w:r>
    </w:p>
    <w:bookmarkEnd w:id="29"/>
    <w:p>
      <w:pPr>
        <w:spacing w:after="0"/>
        <w:ind w:left="0"/>
        <w:jc w:val="both"/>
      </w:pPr>
      <w:r>
        <w:rPr>
          <w:rFonts w:ascii="Times New Roman"/>
          <w:b w:val="false"/>
          <w:i w:val="false"/>
          <w:color w:val="000000"/>
          <w:sz w:val="28"/>
        </w:rPr>
        <w:t>
      1) имеющим собственное аффинажное производство (завод);</w:t>
      </w:r>
    </w:p>
    <w:p>
      <w:pPr>
        <w:spacing w:after="0"/>
        <w:ind w:left="0"/>
        <w:jc w:val="both"/>
      </w:pPr>
      <w:r>
        <w:rPr>
          <w:rFonts w:ascii="Times New Roman"/>
          <w:b w:val="false"/>
          <w:i w:val="false"/>
          <w:color w:val="000000"/>
          <w:sz w:val="28"/>
        </w:rPr>
        <w:t>
      2) реализовавшим аффинированное золото Национальному Банку в объеме не менее 10 000 (десяти тысяч) килограмм в течение года, предшествовавшего году обращения в Национальный Банк с предложением, указанным в абзаце первом настоящего пункта;</w:t>
      </w:r>
    </w:p>
    <w:p>
      <w:pPr>
        <w:spacing w:after="0"/>
        <w:ind w:left="0"/>
        <w:jc w:val="both"/>
      </w:pPr>
      <w:r>
        <w:rPr>
          <w:rFonts w:ascii="Times New Roman"/>
          <w:b w:val="false"/>
          <w:i w:val="false"/>
          <w:color w:val="000000"/>
          <w:sz w:val="28"/>
        </w:rPr>
        <w:t>
      3) представившим Национальному Банку обеспечение исполнения обязательств;</w:t>
      </w:r>
    </w:p>
    <w:p>
      <w:pPr>
        <w:spacing w:after="0"/>
        <w:ind w:left="0"/>
        <w:jc w:val="both"/>
      </w:pPr>
      <w:r>
        <w:rPr>
          <w:rFonts w:ascii="Times New Roman"/>
          <w:b w:val="false"/>
          <w:i w:val="false"/>
          <w:color w:val="000000"/>
          <w:sz w:val="28"/>
        </w:rPr>
        <w:t>
      4) представившим в Национальный Банк с целью обеспечения информацией о своем финансовом положении:</w:t>
      </w:r>
    </w:p>
    <w:p>
      <w:pPr>
        <w:spacing w:after="0"/>
        <w:ind w:left="0"/>
        <w:jc w:val="both"/>
      </w:pPr>
      <w:r>
        <w:rPr>
          <w:rFonts w:ascii="Times New Roman"/>
          <w:b w:val="false"/>
          <w:i w:val="false"/>
          <w:color w:val="000000"/>
          <w:sz w:val="28"/>
        </w:rPr>
        <w:t>
      годовую финансовую отчетность за год, предшествовавший последнему истекшему году, составленную в соответствии с международными стандартами финансовой отчетности и подтвержденную аудиторской организацией, – в случае обращения в Национальный Банк с предложением, указанным в абзаце первом настоящего пункта, до 30 июня (включительно) текущего года;</w:t>
      </w:r>
    </w:p>
    <w:p>
      <w:pPr>
        <w:spacing w:after="0"/>
        <w:ind w:left="0"/>
        <w:jc w:val="both"/>
      </w:pPr>
      <w:r>
        <w:rPr>
          <w:rFonts w:ascii="Times New Roman"/>
          <w:b w:val="false"/>
          <w:i w:val="false"/>
          <w:color w:val="000000"/>
          <w:sz w:val="28"/>
        </w:rPr>
        <w:t>
      годовую финансовую отчетность за предыдущий год, составленную в соответствии с международными стандартами финансовой отчетности и подтвержденную аудиторской организацией, – в случае обращения в Национальный Банк с предложением, указанным в абзаце первом настоящего пункта, после 30 июня текущего года;</w:t>
      </w:r>
    </w:p>
    <w:p>
      <w:pPr>
        <w:spacing w:after="0"/>
        <w:ind w:left="0"/>
        <w:jc w:val="both"/>
      </w:pPr>
      <w:r>
        <w:rPr>
          <w:rFonts w:ascii="Times New Roman"/>
          <w:b w:val="false"/>
          <w:i w:val="false"/>
          <w:color w:val="000000"/>
          <w:sz w:val="28"/>
        </w:rPr>
        <w:t>
      финансовую отчетность за последний истекший календарный квартал, составленную в соответствии с международными стандартами финансовой отчетности.</w:t>
      </w:r>
    </w:p>
    <w:bookmarkStart w:name="z33" w:id="30"/>
    <w:p>
      <w:pPr>
        <w:spacing w:after="0"/>
        <w:ind w:left="0"/>
        <w:jc w:val="both"/>
      </w:pPr>
      <w:r>
        <w:rPr>
          <w:rFonts w:ascii="Times New Roman"/>
          <w:b w:val="false"/>
          <w:i w:val="false"/>
          <w:color w:val="000000"/>
          <w:sz w:val="28"/>
        </w:rPr>
        <w:t>
      14. Клиенты, осуществляющие поставку аффинированного золота на условиях предварительной оплаты будущих поставок аффинированного золота, представляют в Национальный Банк:</w:t>
      </w:r>
    </w:p>
    <w:bookmarkEnd w:id="30"/>
    <w:p>
      <w:pPr>
        <w:spacing w:after="0"/>
        <w:ind w:left="0"/>
        <w:jc w:val="both"/>
      </w:pPr>
      <w:r>
        <w:rPr>
          <w:rFonts w:ascii="Times New Roman"/>
          <w:b w:val="false"/>
          <w:i w:val="false"/>
          <w:color w:val="000000"/>
          <w:sz w:val="28"/>
        </w:rPr>
        <w:t>
      1) годовую финансовую отчетность, составленную в соответствии с международными стандартами финансовой отчетности и подтвержденную аудиторской организацией, – ежегодно не позднее 30 июня (включительно) года, следующего за годом, за который представлена финансовая отчетность;</w:t>
      </w:r>
    </w:p>
    <w:p>
      <w:pPr>
        <w:spacing w:after="0"/>
        <w:ind w:left="0"/>
        <w:jc w:val="both"/>
      </w:pPr>
      <w:r>
        <w:rPr>
          <w:rFonts w:ascii="Times New Roman"/>
          <w:b w:val="false"/>
          <w:i w:val="false"/>
          <w:color w:val="000000"/>
          <w:sz w:val="28"/>
        </w:rPr>
        <w:t>
      2) финансовую отчетность за календарный квартал, составленную в соответствии с международными стандартами финансовой отчетности, – ежеквартально не позднее последнего числа (включительно) последнего месяца календарного квартала, следующего за календарным кварталом, за который представлена финансовая отчетность.</w:t>
      </w:r>
    </w:p>
    <w:bookmarkStart w:name="z34" w:id="31"/>
    <w:p>
      <w:pPr>
        <w:spacing w:after="0"/>
        <w:ind w:left="0"/>
        <w:jc w:val="both"/>
      </w:pPr>
      <w:r>
        <w:rPr>
          <w:rFonts w:ascii="Times New Roman"/>
          <w:b w:val="false"/>
          <w:i w:val="false"/>
          <w:color w:val="000000"/>
          <w:sz w:val="28"/>
        </w:rPr>
        <w:t>
      15. Национальным Банком предварительная оплата будущих поставок аффинированного золота не осуществляется ранее, чем за тридцать календарных дней до дня (включительно) поставки клиентом аффинированного золота. Решение по иным общим условиям предварительной оплаты будущих поставок аффинированного золота, а также перечню клиентов, к которым применяется предварительная оплата будущих поставок аффинированного золота в качестве способа взаиморасчетов, принимается Правлением Национального Банка.</w:t>
      </w:r>
    </w:p>
    <w:bookmarkEnd w:id="31"/>
    <w:bookmarkStart w:name="z35" w:id="32"/>
    <w:p>
      <w:pPr>
        <w:spacing w:after="0"/>
        <w:ind w:left="0"/>
        <w:jc w:val="both"/>
      </w:pPr>
      <w:r>
        <w:rPr>
          <w:rFonts w:ascii="Times New Roman"/>
          <w:b w:val="false"/>
          <w:i w:val="false"/>
          <w:color w:val="000000"/>
          <w:sz w:val="28"/>
        </w:rPr>
        <w:t>
      16. С клиентами, к которым применяется предварительная оплата будущих поставок аффинированного золота в качестве способа взаиморасчетов, по условиям предварительной оплаты будущих поставок аффинированного золота заключается дополнительное соглашение к договору об общих условиях купли-продажи аффинированного золота для пополнения активов в драгоценных металлах.</w:t>
      </w:r>
    </w:p>
    <w:bookmarkEnd w:id="32"/>
    <w:bookmarkStart w:name="z36" w:id="33"/>
    <w:p>
      <w:pPr>
        <w:spacing w:after="0"/>
        <w:ind w:left="0"/>
        <w:jc w:val="both"/>
      </w:pPr>
      <w:r>
        <w:rPr>
          <w:rFonts w:ascii="Times New Roman"/>
          <w:b w:val="false"/>
          <w:i w:val="false"/>
          <w:color w:val="000000"/>
          <w:sz w:val="28"/>
        </w:rPr>
        <w:t>
      17. Порядок проведения испытаний аффинированного золота и предъявления претензий по качеству и количеству аффинированного золота устанавливается договором об общих условиях купли-продажи аффинированного золота для пополнения активов в драгоценных металлах.</w:t>
      </w:r>
    </w:p>
    <w:bookmarkEnd w:id="33"/>
    <w:bookmarkStart w:name="z37" w:id="34"/>
    <w:p>
      <w:pPr>
        <w:spacing w:after="0"/>
        <w:ind w:left="0"/>
        <w:jc w:val="both"/>
      </w:pPr>
      <w:r>
        <w:rPr>
          <w:rFonts w:ascii="Times New Roman"/>
          <w:b w:val="false"/>
          <w:i w:val="false"/>
          <w:color w:val="000000"/>
          <w:sz w:val="28"/>
        </w:rPr>
        <w:t>
      18. Цена аффинированного золота определяется в тенге исходя из официального курса тенге к доллару Соединенных Штатов Америки на дату сделки и среднего значения утреннего и вечернего фиксинга (котировки цены) на золото Лондонской ассоциации рынка драгоценных металлов (London bullion market association), усредненного на весь месяц поставки, и дисконта, включающего:</w:t>
      </w:r>
    </w:p>
    <w:bookmarkEnd w:id="34"/>
    <w:p>
      <w:pPr>
        <w:spacing w:after="0"/>
        <w:ind w:left="0"/>
        <w:jc w:val="both"/>
      </w:pPr>
      <w:r>
        <w:rPr>
          <w:rFonts w:ascii="Times New Roman"/>
          <w:b w:val="false"/>
          <w:i w:val="false"/>
          <w:color w:val="000000"/>
          <w:sz w:val="28"/>
        </w:rPr>
        <w:t>
      транспортные расходы по экспорту золота на международные рынки;</w:t>
      </w:r>
    </w:p>
    <w:p>
      <w:pPr>
        <w:spacing w:after="0"/>
        <w:ind w:left="0"/>
        <w:jc w:val="both"/>
      </w:pPr>
      <w:r>
        <w:rPr>
          <w:rFonts w:ascii="Times New Roman"/>
          <w:b w:val="false"/>
          <w:i w:val="false"/>
          <w:color w:val="000000"/>
          <w:sz w:val="28"/>
        </w:rPr>
        <w:t>
      затраты на реализацию, включающие бид-аск (bid-ask) спред;</w:t>
      </w:r>
    </w:p>
    <w:p>
      <w:pPr>
        <w:spacing w:after="0"/>
        <w:ind w:left="0"/>
        <w:jc w:val="both"/>
      </w:pPr>
      <w:r>
        <w:rPr>
          <w:rFonts w:ascii="Times New Roman"/>
          <w:b w:val="false"/>
          <w:i w:val="false"/>
          <w:color w:val="000000"/>
          <w:sz w:val="28"/>
        </w:rPr>
        <w:t>
      скидку за качество, которая применяется в случае приобретения аффинированного золота, не отвечающего международным стандартам,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("London good delivery").</w:t>
      </w:r>
    </w:p>
    <w:p>
      <w:pPr>
        <w:spacing w:after="0"/>
        <w:ind w:left="0"/>
        <w:jc w:val="both"/>
      </w:pPr>
      <w:r>
        <w:rPr>
          <w:rFonts w:ascii="Times New Roman"/>
          <w:b w:val="false"/>
          <w:i w:val="false"/>
          <w:color w:val="000000"/>
          <w:sz w:val="28"/>
        </w:rPr>
        <w:t>
      Для целей определения ставок дисконта затраты на реализацию, включающие бид-аск (bid-ask) спред, принимаются равными нулю только на основании решения Правления Национального Банка.</w:t>
      </w:r>
    </w:p>
    <w:p>
      <w:pPr>
        <w:spacing w:after="0"/>
        <w:ind w:left="0"/>
        <w:jc w:val="both"/>
      </w:pPr>
      <w:r>
        <w:rPr>
          <w:rFonts w:ascii="Times New Roman"/>
          <w:b w:val="false"/>
          <w:i w:val="false"/>
          <w:color w:val="000000"/>
          <w:sz w:val="28"/>
        </w:rPr>
        <w:t>
      Ставки дисконта на предстоящее полугодие утверждаются Советом директоров Национального Банка.</w:t>
      </w:r>
    </w:p>
    <w:p>
      <w:pPr>
        <w:spacing w:after="0"/>
        <w:ind w:left="0"/>
        <w:jc w:val="both"/>
      </w:pPr>
      <w:r>
        <w:rPr>
          <w:rFonts w:ascii="Times New Roman"/>
          <w:b w:val="false"/>
          <w:i w:val="false"/>
          <w:color w:val="000000"/>
          <w:sz w:val="28"/>
        </w:rPr>
        <w:t>
      Ко всему аффинированному золоту одного качества, приобретаемому в одном периоде, применяется единая ставка дисконта.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