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def1" w14:textId="4dad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19 апреля 2016 года № 81. Зарегистрирован в Министерстве юстиции Республики Казахстан 19 мая 2016 года № 13720. Утратил силу приказом Председателя Агентства Республики Казахстан по делам государственной службы и противодействию коррупции от 21 февраля 2017 года № 40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21.02.2017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 (зарегистрирован в Реестре государственной регистрации нормативных правовых актов за № 12639, опубликован 22 января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программы и организации тестирования административных государственных служащих, кандидатов на занятие административных государственных должностей,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программам и организации тестирования административных государственных служащих, кандидатов на занятие административных государственных должностей "Программы тестирования кандидатов на зачисление в кадровый резерв административной государственной службы корпуса "А" на знание законодательства Республики Казахстан":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первая программа предназначена для должностей административной государственной службы корпуса "А" (далее – должности корпуса "А"), за исключением указанных в подпунктах 2) и 3) настоящего пункта, и включает тесты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"(10 вопросов), 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(10 вопросов).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время на выполнение тестов по первой программе составляет 80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вторая программа предназначена для должностей корпуса "А" второй категории и включает тесты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(10 вопросов),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(10 вопросов).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время на выполнение тестов по второй программе составляет 80 минут.";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программам и организации тестирования административных государственных служащих, кандидатов на занятие административных государственных должностей "Программы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первая программа предназначена для категорий А-1, А-2, А-3, А-4, В-1, В-2, В-3, В-4, С-1, С-2, С-3, С-О-1, С-О-2, C-R-1, D-1, D-2, D-3, D-О-1, D-О-2, Е-1, Е-2 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тесты на знание государственного языка Республики Казахстан (20 вопросов) продолжительностью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тесты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Значения прохождения тестирования по первой программе составляют не менее 95 правильных ответов от общего количества вопросов (135 вопросов) по всем нормативным правовым актам и не менее 5 правильных ответов по каждому нормативному правовому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время на выполнение тестов на знание законодательства Республики Казахстан по первой программе составляет 110 минут;".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(Алмабаев Н.С.)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делам государственной службы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