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506a" w14:textId="4f25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сельского хозяйства Республики Казахстан от 24 августа 2015 года № 7-1/764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мая 2016 года № 199. Зарегистрирован в Министерстве юстиции Республики Казахстан 1 июня 2016 года № 13757. Утратил силу приказом Министра сельского хозяйства Республики Казахстан от 27 мая 2021 года №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27.05.2021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августа 2015 года № 7-1/764 "Об утверждении регламентов государственных услуг в области ветеринарии" (зарегистрированный в Реестре государственной регистрации нормативных правовых актов № 12097, опубликованный 6 октября 2015 года в информационно-правовой системе "Әділет") следующие изменение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ветеринарного сертификата на перемещаемые (перевозимые) объекты при экспорте",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регистрационных удостоверений на ветеринарные препараты, кормовые добавки с их государственной регистрацией",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акта экспертизы (протокол испытаний), выдаваемой ветеринарными лабораториями",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"Выдача лицензии для занятия деятельностью в сфере ветеринарии",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"Согласование нормативно-технической документации на новые, усовершенствованные ветеринарные препараты, кормовые добавки",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"Проведение апробации ветеринарного препарата и кормовых добавок"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регламент государственной услуги "Регистрация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номеров" согласно приложению 8 к настоящему приказу.";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 №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2015 года № 7-1/764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лазерных станций,</w:t>
      </w:r>
      <w:r>
        <w:br/>
      </w:r>
      <w:r>
        <w:rPr>
          <w:rFonts w:ascii="Times New Roman"/>
          <w:b/>
          <w:i w:val="false"/>
          <w:color w:val="000000"/>
        </w:rPr>
        <w:t>изделий (средств) и атрибутов для проведения идентификации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и их производителей в базе данных</w:t>
      </w:r>
      <w:r>
        <w:br/>
      </w:r>
      <w:r>
        <w:rPr>
          <w:rFonts w:ascii="Times New Roman"/>
          <w:b/>
          <w:i w:val="false"/>
          <w:color w:val="000000"/>
        </w:rPr>
        <w:t>по эмиссии индивидуальных номеров"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номеров" (далее – государственная услуга) оказывается Республиканским государственным учреждением "Республиканский противоэпизоотический отряд" Комитета ветеринарного контроля и надзора Министерства сельского хозяйства Республики Казахстан (далее -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 (далее – канцелярия).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 прохождении регистрации, и в случае запроса услугополучателя, выписка из базы данных по эмиссии индивидуальных номеров сельскохозяйственных животных.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номеров" утвержденного приказом Министра сельского хозяйства Республики Казахстан от 6 мая 2015 года № 7-1/418 (зарегистрирован в Реестре государственной регистрации нормативных правовых актов за № 11959) (далее – cтандарт).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(далее – канцелярия) регистрирует представленное услугополучателем заявление на получение государственной услуги, и направляет руководству услугодателя (далее – руководство) заявление для определения ответственного исполнителя услугодателя (далее – исполнитель)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– ознакамливается с заявлением, определяет исполнителя – 60 (шестьдесят)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лазерных станций: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представленным заявлением, проверяет полноту представленных документов, образцов изделий (средств) для проведения идентификации сельскохозяйственных животных с нанесенными на них индивидуальными номерами сельскохозяйственных животных – в течение одного рабочего дня со дня поступления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представленных документов, количества представленных образцов изделий (средств) для проведения идентификации сельскохозяйственных животных предъявляемым требованиям на основании представленных документов и визуальной оценки образцов изделий (средств) с нанесенными индивидуальными номерами сельскохозяйственных животных исполнитель определяет соответствие нанесенных индивидуальных номеров сельскохозяйственных животных на образцах изделий (средств) для проведения идентификации сельскохозяйственных животных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за № 11127) (далее – Правила идентификации) и соответствие лазерных станций требованиям установленным Правилами регистрации лазерных станций, изделий (средств) и атрибутов для проведения идентификации сельскохозяйственных животных и производителей,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7-1/678 (зарегистрирован в Реестре государственной регистрации нормативных правовых актов за № 11926) (далее – Правила) – в течение десяти рабочих дней после регистрации письменного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нанесенных индивидуальных номеров сельскохозяйственных животных на образцах изделий (средств) для проведения идентификации сельскохозяйственных животных и лазерных станций установленным требованиям, услугодатель осуществляет регистрацию лазерных станций путем внесения сведений в базу данных по эмиссии индивидуальных номеров сельскохозяйственных животных –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изделий (средств) и атрибутов для проведения идентификации сельскохозяйственных животных и их производителей: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представленным заявлением, проверяет полноту представленных документов, образцов изделий (средств) и атрибутов для проведения идентификации сельскохозяйственных животных – в течение одного рабочего дня со дня поступления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документов, количества представленных образцов изделий (средств), атрибутов для проведения идентификации сельскохозяйственных животных и их производителей исполнитель определяет соответствие: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 (средств) для проведения идентификации сельскохозяйственных животных и их производителей требованиям установленным Правилами идентификации (визуальная оценка, наличие подтверждения их регистрации в списке производителей Международного комитета по ведению записей о животных (ICAR)) – в течение десяти рабочих дней после регистрации письменного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атрибутов для таврения, требованиям установленным Правилами идентификации, аппараты для биркования требованиям установленным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изделий (средств), атрибутов и их производителей требованиям установленным Правилами идентификации и Правилами, услугодатель осуществляет регистрацию изделий (средств) и атрибутов для проведения идентификации сельскохозяйственных животных и их производителей внесения сведений в базу данных по эмиссии индивидуальных номеров сельскохозяйственных животных –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– рассматривает представленные документы, подписывает, направляет в канцелярию – 60 (шестьдесят)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выдает результат оказанной государственной услуги услугополучателю – 30 (тридцать) минут.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следующих процедур (действий):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заявление, направление заявления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определение руководством исполнителя и направление ему на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с заявлением, регистрация, направление руководству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оказанной государственной услуги или мотивированного отказа, направление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оказанной государственной услуги.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(или исполняющее его обязанности лицо).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регистрирует представленное услугополучателем заявление на получение государственной услуги, и направляет руководству заявление для определения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– ознакамливается с заявлением, определяет исполнителя – 60 (шестьдесят)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лазерных станций: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представленным заявлением, проверяет полноту представленных документов, образцов изделий (средств) для проведения идентификации сельскохозяйственных животных с нанесенными на них индивидуальными номерами сельскохозяйственных животных – в течение одного рабочего дня со дня поступления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документов, количества представленных образцов изделий (средств) для проведения идентификации сельскохозяйственных животных предъявляемым требованиям на основании представленных документов и визуальной оценки образцов изделий (средств) для проведения идентификации сельскохозяйственных животных с нанесенными индивидуальными номерами сельскохозяйственных животных исполнитель определяет соответствие нанесенных индивидуальных номеров сельскохозяйственных животных на образцах изделий (средств) для проведения идентификации сельскохозяйственных животных требованиям установленным Правилами идентификации и соответствие лазерных станций требованиям установленным Правилами – в течение десяти рабочих дней после регистрации письменного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нанесенных индивидуальных номеров сельскохозяйственных животных на образцах изделий (средств) для проведения идентификации сельскохозяйственных животных и лазерных станций установленным требованиям, услугодатель осуществляет регистрацию лазерных станций путем внесения сведений в базу данных по эмиссии индивидуальных номеров сельскохозяйственных животных –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изделий (средств) и атрибутов для проведения идентификации сельскохозяйственных животных и их производителей: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представленным заявлением, проверяет полноту представленных документов, образцов изделий (средств) и атрибутов для проведения идентификации сельскохозяйственных животных – в течение одного рабочего дня со дня поступления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документов, количества представленных образцов изделий (средств), атрибутов для проведения идентификации сельскохозяйственных животных и их производителей исполнитель определяет соответствие: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 (средств) для проведения идентификации сельскохозяйственных животных и их производителей требованиям установленным Правилами идентификации (визуальная оценка, наличие подтверждения их регистрации в списке производителей Международного комитета по ведению записей о животных (ICAR)) – в течение десяти рабочих дней после регистрации письменного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атрибутов для таврения, требованиям установленным Правилами идентификации, аппараты для биркования требованиям установленным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изделий (средств), атрибутов для проведения идентификации сельскохозяйственных животных и их производителей требованиям установленным Правилами идентификации и Правилами, услугодатель осуществляет регистрацию изделий (средств) и атрибутов для проведения идентификации сельскохозяйственных животных и их производителей путем внесения сведений в базу данных по эмиссии индивидуальных номеров сельскохозяйственных животных –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– рассматривает представленные документы, подписывает, направляет в канцелярию – 60 (шестьдесят)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выдает результат оказанной государственной услуги услугополучателю – 30 (тридцать) минут.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услугодателю, длительность обработки запроса услугополучателя: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подает заявку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указан в пункте 8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сроки, указанные в пункте 4 стандарта.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"Регистрация лазерных станций, изделий (средств) и атрибутов для проведения идентификации сельскохозяйственных животных и их производителей в базе данных по эмиссии индивидуальных номеров",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www.minagri.gov.kz, раздел "Государственные услуги". Единый контакт-центр по вопросам оказания государственных услуг: 1414, 8 800 080 7777.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лазерных станций,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(средств) и атрибутов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производителей в базе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эмиссии индивидуальных номеров"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лазерных станций, изделий (средств) и атрибутов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идентификации сельскохозяйственных животных и их</w:t>
      </w:r>
      <w:r>
        <w:br/>
      </w:r>
      <w:r>
        <w:rPr>
          <w:rFonts w:ascii="Times New Roman"/>
          <w:b/>
          <w:i w:val="false"/>
          <w:color w:val="000000"/>
        </w:rPr>
        <w:t>производителей в базе данных по эмиссии индивидуальных номеров"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