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424f4" w14:textId="20424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both"/>
      </w:pPr>
      <w:r>
        <w:rPr>
          <w:rFonts w:ascii="Times New Roman"/>
          <w:b w:val="false"/>
          <w:i w:val="false"/>
          <w:color w:val="000000"/>
          <w:sz w:val="28"/>
        </w:rPr>
        <w:t>Приказ Министра финансов Республики Казахстан от 6 июня 2016 года № 248. Зарегистрирован в Министерстве юстиции Республики Казахстан 17 июня 2016 года № 13804</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82 Бюджетного кодекса Республики Казахстан от 4 декабря 2008 года,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за № 9934)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 (далее - Правила):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199</w:t>
      </w:r>
      <w:r>
        <w:rPr>
          <w:rFonts w:ascii="Times New Roman"/>
          <w:b w:val="false"/>
          <w:i w:val="false"/>
          <w:color w:val="000000"/>
          <w:sz w:val="28"/>
        </w:rPr>
        <w:t xml:space="preserve"> дополнить подпунктом 22) следующего содержания:</w:t>
      </w:r>
      <w:r>
        <w:br/>
      </w:r>
      <w:r>
        <w:rPr>
          <w:rFonts w:ascii="Times New Roman"/>
          <w:b w:val="false"/>
          <w:i w:val="false"/>
          <w:color w:val="000000"/>
          <w:sz w:val="28"/>
        </w:rPr>
        <w:t>
      «22) наличие в договоре на выполнение научно-исследовательских работ, реализуемого за счет базового, грантового, программно-целевого финансирования научной и (или) научно-технической деятельности, обязательного условия осуществления окончательной оплаты после получения исполнителем заключения Государственной научно-технической экспертизы.»;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309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«309. Основные моменты при составлении Соглашения:</w:t>
      </w:r>
      <w:r>
        <w:br/>
      </w:r>
      <w:r>
        <w:rPr>
          <w:rFonts w:ascii="Times New Roman"/>
          <w:b w:val="false"/>
          <w:i w:val="false"/>
          <w:color w:val="000000"/>
          <w:sz w:val="28"/>
        </w:rPr>
        <w:t>
      1) при заключении Соглашения следует учитывать цели, задачи, прямые и конечные результаты, где:</w:t>
      </w:r>
      <w:r>
        <w:br/>
      </w:r>
      <w:r>
        <w:rPr>
          <w:rFonts w:ascii="Times New Roman"/>
          <w:b w:val="false"/>
          <w:i w:val="false"/>
          <w:color w:val="000000"/>
          <w:sz w:val="28"/>
        </w:rPr>
        <w:t>
      в пункте 2.2 «Цели» указываются цели, направленные на достижение конечного результата в соответствии со стратегическим планом;</w:t>
      </w:r>
      <w:r>
        <w:br/>
      </w:r>
      <w:r>
        <w:rPr>
          <w:rFonts w:ascii="Times New Roman"/>
          <w:b w:val="false"/>
          <w:i w:val="false"/>
          <w:color w:val="000000"/>
          <w:sz w:val="28"/>
        </w:rPr>
        <w:t>
      в пункте 2.3 «Задачи» указываются задачи, направленные на достижение цели в соответствии со стратегическим планом государственного органа;</w:t>
      </w:r>
      <w:r>
        <w:br/>
      </w:r>
      <w:r>
        <w:rPr>
          <w:rFonts w:ascii="Times New Roman"/>
          <w:b w:val="false"/>
          <w:i w:val="false"/>
          <w:color w:val="000000"/>
          <w:sz w:val="28"/>
        </w:rPr>
        <w:t>
      в пункте 2.4 «Прямые результаты» указывается по целевым трансфертам на развитие поименный перечень бюджетных инвестиций, реализуемых в рамках целевых трансфертов на развитие в соответствии с бюджетной заявкой, представленной администратором бюджетных программ вышестоящего бюджета на текущий финансовый год. При этом, в случае реализации объектов продолжительного характера указывается объем выполняемых работ и услуг на текущий финансовый год, а в случае их завершения указываются наименования инвестиционных проектов, завершенных в текущем финансовом году;</w:t>
      </w:r>
      <w:r>
        <w:br/>
      </w:r>
      <w:r>
        <w:rPr>
          <w:rFonts w:ascii="Times New Roman"/>
          <w:b w:val="false"/>
          <w:i w:val="false"/>
          <w:color w:val="000000"/>
          <w:sz w:val="28"/>
        </w:rPr>
        <w:t>
      в пункте 2.5 «Конечные результаты» указывается показатель бюджетной программы, количественно измеряющий достижение цели стратегического плана, программы развития территории и (или) бюджетной программы, обусловленный достижением прямых результатов деятельности государственного органа.</w:t>
      </w:r>
      <w:r>
        <w:br/>
      </w:r>
      <w:r>
        <w:rPr>
          <w:rFonts w:ascii="Times New Roman"/>
          <w:b w:val="false"/>
          <w:i w:val="false"/>
          <w:color w:val="000000"/>
          <w:sz w:val="28"/>
        </w:rPr>
        <w:t>
      При определении конечного результата следует отразить решение проблемы в отрасли (сфере деятельности), связанной с реализацией бюджетной программы.</w:t>
      </w:r>
      <w:r>
        <w:br/>
      </w:r>
      <w:r>
        <w:rPr>
          <w:rFonts w:ascii="Times New Roman"/>
          <w:b w:val="false"/>
          <w:i w:val="false"/>
          <w:color w:val="000000"/>
          <w:sz w:val="28"/>
        </w:rPr>
        <w:t>
      2) по заполнению приложения 1 к Соглашению:</w:t>
      </w:r>
      <w:r>
        <w:br/>
      </w:r>
      <w:r>
        <w:rPr>
          <w:rFonts w:ascii="Times New Roman"/>
          <w:b w:val="false"/>
          <w:i w:val="false"/>
          <w:color w:val="000000"/>
          <w:sz w:val="28"/>
        </w:rPr>
        <w:t>
      В промежуточном отчете о достижении показателей результатов приводятся данные о фактическом достижении прямых результатов, об освоении сумм целевых трансфертов за определенный период времени с указанием причин недостижения запланированных на данный период показателей результатов.</w:t>
      </w:r>
      <w:r>
        <w:br/>
      </w:r>
      <w:r>
        <w:rPr>
          <w:rFonts w:ascii="Times New Roman"/>
          <w:b w:val="false"/>
          <w:i w:val="false"/>
          <w:color w:val="000000"/>
          <w:sz w:val="28"/>
        </w:rPr>
        <w:t>
      Приложение 1 к Соглашению составляется в следующем порядке:</w:t>
      </w:r>
      <w:r>
        <w:br/>
      </w:r>
      <w:r>
        <w:rPr>
          <w:rFonts w:ascii="Times New Roman"/>
          <w:b w:val="false"/>
          <w:i w:val="false"/>
          <w:color w:val="000000"/>
          <w:sz w:val="28"/>
        </w:rPr>
        <w:t>
      в строке «Наименование государственного органа» указывается местный исполнительный орган, с которым заключено Соглашение;</w:t>
      </w:r>
      <w:r>
        <w:br/>
      </w:r>
      <w:r>
        <w:rPr>
          <w:rFonts w:ascii="Times New Roman"/>
          <w:b w:val="false"/>
          <w:i w:val="false"/>
          <w:color w:val="000000"/>
          <w:sz w:val="28"/>
        </w:rPr>
        <w:t>
      в строке «Наименование целевого трансферта» указывается наименование бюджетной программы (подпрограммы) вышестоящего бюджета;</w:t>
      </w:r>
      <w:r>
        <w:br/>
      </w:r>
      <w:r>
        <w:rPr>
          <w:rFonts w:ascii="Times New Roman"/>
          <w:b w:val="false"/>
          <w:i w:val="false"/>
          <w:color w:val="000000"/>
          <w:sz w:val="28"/>
        </w:rPr>
        <w:t>
      в строке «Период отчета» указывается полугодие отчетного финансового года;</w:t>
      </w:r>
      <w:r>
        <w:br/>
      </w:r>
      <w:r>
        <w:rPr>
          <w:rFonts w:ascii="Times New Roman"/>
          <w:b w:val="false"/>
          <w:i w:val="false"/>
          <w:color w:val="000000"/>
          <w:sz w:val="28"/>
        </w:rPr>
        <w:t>
      в строке «Полученная сумма средств из вышестоящего бюджета» указывается сумма целевых трансфертов, полученная из вышестоящего бюджета по состоянию на 1 июля;</w:t>
      </w:r>
      <w:r>
        <w:br/>
      </w:r>
      <w:r>
        <w:rPr>
          <w:rFonts w:ascii="Times New Roman"/>
          <w:b w:val="false"/>
          <w:i w:val="false"/>
          <w:color w:val="000000"/>
          <w:sz w:val="28"/>
        </w:rPr>
        <w:t>
      в строках «(наименование бюджетной программы)» и «(код бюджетной программы (подпрограммы)» заполняются наименования и код бюджетной программы (подпрограммы) нижестоящего бюджета, по которым реализуются целевые трансферты, выделенные из вышестоящего бюджета;</w:t>
      </w:r>
      <w:r>
        <w:br/>
      </w:r>
      <w:r>
        <w:rPr>
          <w:rFonts w:ascii="Times New Roman"/>
          <w:b w:val="false"/>
          <w:i w:val="false"/>
          <w:color w:val="000000"/>
          <w:sz w:val="28"/>
        </w:rPr>
        <w:t>
      по строке «Прямой результат»:</w:t>
      </w:r>
      <w:r>
        <w:br/>
      </w:r>
      <w:r>
        <w:rPr>
          <w:rFonts w:ascii="Times New Roman"/>
          <w:b w:val="false"/>
          <w:i w:val="false"/>
          <w:color w:val="000000"/>
          <w:sz w:val="28"/>
        </w:rPr>
        <w:t>
      в графе «Наименование показателей (планируемые мероприятия)» указываются планируемые (выполняемые) мероприятия по каждому бюджетному инвестиционному проекту, предусмотренные в заключенном Соглашении, выделенных из вышестоящего бюджета;</w:t>
      </w:r>
      <w:r>
        <w:br/>
      </w:r>
      <w:r>
        <w:rPr>
          <w:rFonts w:ascii="Times New Roman"/>
          <w:b w:val="false"/>
          <w:i w:val="false"/>
          <w:color w:val="000000"/>
          <w:sz w:val="28"/>
        </w:rPr>
        <w:t>
      в графе «Фактическое выполнение мероприятий, стадия достижения результатов» указывается количественная характеристика объема выполненных мероприятий в пределах предусмотренных бюджетных средств. Прямые результаты заполняются по каждому бюджетному инвестиционному проекту;</w:t>
      </w:r>
      <w:r>
        <w:br/>
      </w:r>
      <w:r>
        <w:rPr>
          <w:rFonts w:ascii="Times New Roman"/>
          <w:b w:val="false"/>
          <w:i w:val="false"/>
          <w:color w:val="000000"/>
          <w:sz w:val="28"/>
        </w:rPr>
        <w:t>
      в графе «Причины недостижения результатов» подробно описываются причины недостижения запланированных показателей результатов по целевым трансфертам, связанных с суммой неисполнения. В случае отставания от графика запланированных мероприятий указываются причины отставания;</w:t>
      </w:r>
      <w:r>
        <w:br/>
      </w:r>
      <w:r>
        <w:rPr>
          <w:rFonts w:ascii="Times New Roman"/>
          <w:b w:val="false"/>
          <w:i w:val="false"/>
          <w:color w:val="000000"/>
          <w:sz w:val="28"/>
        </w:rPr>
        <w:t>
      в графах «План, тыс.тенге» и «Фактическое исполнение, тыс.тенге» указываются суммы целевых трансфертов на развитие, выделенных из вышестоящего бюджета на 1 июля отчетного финансового года и суммы оплаченных обязательств по состоянию на 1 июля отчетного финансового года;</w:t>
      </w:r>
      <w:r>
        <w:br/>
      </w:r>
      <w:r>
        <w:rPr>
          <w:rFonts w:ascii="Times New Roman"/>
          <w:b w:val="false"/>
          <w:i w:val="false"/>
          <w:color w:val="000000"/>
          <w:sz w:val="28"/>
        </w:rPr>
        <w:t>
      в графе «Отклонение тыс.тенге» указывается разница между суммами целевых трансфертов, выделенных из вышестоящего бюджета и фактического их исполнения по состоянию на 1 июля отчетного финансового года.</w:t>
      </w:r>
      <w:r>
        <w:br/>
      </w:r>
      <w:r>
        <w:rPr>
          <w:rFonts w:ascii="Times New Roman"/>
          <w:b w:val="false"/>
          <w:i w:val="false"/>
          <w:color w:val="000000"/>
          <w:sz w:val="28"/>
        </w:rPr>
        <w:t>
      3) по заполнению приложения 2 к Соглашению:</w:t>
      </w:r>
      <w:r>
        <w:br/>
      </w:r>
      <w:r>
        <w:rPr>
          <w:rFonts w:ascii="Times New Roman"/>
          <w:b w:val="false"/>
          <w:i w:val="false"/>
          <w:color w:val="000000"/>
          <w:sz w:val="28"/>
        </w:rPr>
        <w:t>
      В итоговом отчете о достижении показателей результатов приводятся данные о фактическом достижении прямых и конечных результатов, об освоении сумм целевых трансфертов за текущий финансовый год с указанием причин недостижения запланированных показателей результатов.</w:t>
      </w:r>
      <w:r>
        <w:br/>
      </w:r>
      <w:r>
        <w:rPr>
          <w:rFonts w:ascii="Times New Roman"/>
          <w:b w:val="false"/>
          <w:i w:val="false"/>
          <w:color w:val="000000"/>
          <w:sz w:val="28"/>
        </w:rPr>
        <w:t>
      Приложение 2 к Соглашению составляется в следующем порядке:</w:t>
      </w:r>
      <w:r>
        <w:br/>
      </w:r>
      <w:r>
        <w:rPr>
          <w:rFonts w:ascii="Times New Roman"/>
          <w:b w:val="false"/>
          <w:i w:val="false"/>
          <w:color w:val="000000"/>
          <w:sz w:val="28"/>
        </w:rPr>
        <w:t>
      в строке «Наименование государственного органа» указывается местный исполнительный орган, с которым заключено Соглашение;</w:t>
      </w:r>
      <w:r>
        <w:br/>
      </w:r>
      <w:r>
        <w:rPr>
          <w:rFonts w:ascii="Times New Roman"/>
          <w:b w:val="false"/>
          <w:i w:val="false"/>
          <w:color w:val="000000"/>
          <w:sz w:val="28"/>
        </w:rPr>
        <w:t>
      в строке «Наименование целевого трансферта» указывается наименование бюджетной программы (подпрограммы) вышестоящего бюджета;</w:t>
      </w:r>
      <w:r>
        <w:br/>
      </w:r>
      <w:r>
        <w:rPr>
          <w:rFonts w:ascii="Times New Roman"/>
          <w:b w:val="false"/>
          <w:i w:val="false"/>
          <w:color w:val="000000"/>
          <w:sz w:val="28"/>
        </w:rPr>
        <w:t>
      в строке «Период отчета» указывается отчетный финансовый год;</w:t>
      </w:r>
      <w:r>
        <w:br/>
      </w:r>
      <w:r>
        <w:rPr>
          <w:rFonts w:ascii="Times New Roman"/>
          <w:b w:val="false"/>
          <w:i w:val="false"/>
          <w:color w:val="000000"/>
          <w:sz w:val="28"/>
        </w:rPr>
        <w:t>
      в строке «Полученная сумма средств из вышестоящего бюджета» указывается сумма целевых трансфертов, полученная из вышестоящего бюджета по состоянию на 1 января текущего финансового года;</w:t>
      </w:r>
      <w:r>
        <w:br/>
      </w:r>
      <w:r>
        <w:rPr>
          <w:rFonts w:ascii="Times New Roman"/>
          <w:b w:val="false"/>
          <w:i w:val="false"/>
          <w:color w:val="000000"/>
          <w:sz w:val="28"/>
        </w:rPr>
        <w:t>
      в строках «(наименование бюджетной программы)» и «(код бюджетной программы (подпрограммы)» заполняются наименования и код бюджетной программы (подпрограммы) нижестоящего бюджета, по которым реализуются целевые трансферты, выделенные из вышестоящего бюджета;</w:t>
      </w:r>
      <w:r>
        <w:br/>
      </w:r>
      <w:r>
        <w:rPr>
          <w:rFonts w:ascii="Times New Roman"/>
          <w:b w:val="false"/>
          <w:i w:val="false"/>
          <w:color w:val="000000"/>
          <w:sz w:val="28"/>
        </w:rPr>
        <w:t>
      по строке «Прямой результат»:</w:t>
      </w:r>
      <w:r>
        <w:br/>
      </w:r>
      <w:r>
        <w:rPr>
          <w:rFonts w:ascii="Times New Roman"/>
          <w:b w:val="false"/>
          <w:i w:val="false"/>
          <w:color w:val="000000"/>
          <w:sz w:val="28"/>
        </w:rPr>
        <w:t>
      в графе «Наименование показателей (планируемые мероприятия)» указываются планируемые (выполняемые) мероприятия по каждому бюджетному инвестиционному проекту, предусмотренные в заключенном Соглашении, которые должны быть достигнуты за счет использования целевых трансфертов, выделенных из вышестоящего бюджета;</w:t>
      </w:r>
      <w:r>
        <w:br/>
      </w:r>
      <w:r>
        <w:rPr>
          <w:rFonts w:ascii="Times New Roman"/>
          <w:b w:val="false"/>
          <w:i w:val="false"/>
          <w:color w:val="000000"/>
          <w:sz w:val="28"/>
        </w:rPr>
        <w:t>
      в графе «Фактическое выполнение мероприятий, стадия достижения результатов» указывается количественная характеристика объема выполненных мероприятий в пределах предусмотренных бюджетных средств. Прямые результаты заполняются по каждому бюджетному инвестиционному проекту;</w:t>
      </w:r>
      <w:r>
        <w:br/>
      </w:r>
      <w:r>
        <w:rPr>
          <w:rFonts w:ascii="Times New Roman"/>
          <w:b w:val="false"/>
          <w:i w:val="false"/>
          <w:color w:val="000000"/>
          <w:sz w:val="28"/>
        </w:rPr>
        <w:t>
      в графе «Причины недостижения результатов» подробно описываются причины недостижения запланированных показателей прямых результатов по целевым трансфертам, связанных с суммой неисполнения. В случае отставания от графика запланированных мероприятий указываются причины отставания;</w:t>
      </w:r>
      <w:r>
        <w:br/>
      </w:r>
      <w:r>
        <w:rPr>
          <w:rFonts w:ascii="Times New Roman"/>
          <w:b w:val="false"/>
          <w:i w:val="false"/>
          <w:color w:val="000000"/>
          <w:sz w:val="28"/>
        </w:rPr>
        <w:t>
      в графах «План, тыс.тенге» и «Фактическое исполнение, тыс.тенге» указываются суммы целевых трансфертов на развитие, выделенных из вышестоящего бюджета на 1 января текущего финансового года и суммы оплаченных обязательств по состоянию на 1 января текущего финансового года;</w:t>
      </w:r>
      <w:r>
        <w:br/>
      </w:r>
      <w:r>
        <w:rPr>
          <w:rFonts w:ascii="Times New Roman"/>
          <w:b w:val="false"/>
          <w:i w:val="false"/>
          <w:color w:val="000000"/>
          <w:sz w:val="28"/>
        </w:rPr>
        <w:t>
      в графе «Отклонение тыс.тенге» указывается разница между суммами целевых трансфертов, выделенных из вышестоящего бюджета и фактического их исполнения по состоянию на 1 января текущего финансового года;</w:t>
      </w:r>
      <w:r>
        <w:br/>
      </w:r>
      <w:r>
        <w:rPr>
          <w:rFonts w:ascii="Times New Roman"/>
          <w:b w:val="false"/>
          <w:i w:val="false"/>
          <w:color w:val="000000"/>
          <w:sz w:val="28"/>
        </w:rPr>
        <w:t>
      по строке «Конечный результат»:</w:t>
      </w:r>
      <w:r>
        <w:br/>
      </w:r>
      <w:r>
        <w:rPr>
          <w:rFonts w:ascii="Times New Roman"/>
          <w:b w:val="false"/>
          <w:i w:val="false"/>
          <w:color w:val="000000"/>
          <w:sz w:val="28"/>
        </w:rPr>
        <w:t>
      в графе «Запланированные показатели результаты (мероприятия)» указываются конечные результаты по каждому бюджетному инвестиционному проекту, предусмотренные в заключенном Соглашении, то есть ожидаемое влияние достигнутого прямого результата на достижение цели;</w:t>
      </w:r>
      <w:r>
        <w:br/>
      </w:r>
      <w:r>
        <w:rPr>
          <w:rFonts w:ascii="Times New Roman"/>
          <w:b w:val="false"/>
          <w:i w:val="false"/>
          <w:color w:val="000000"/>
          <w:sz w:val="28"/>
        </w:rPr>
        <w:t>
      в графе «Фактическое достижение результатов» указывается фактическое выполнение конечных результатов по каждому бюджетному инвестиционному проекту, то есть какой эффект показал достигнутый прямой результат на отрасль, на сколько решилась проблема в ней;</w:t>
      </w:r>
      <w:r>
        <w:br/>
      </w:r>
      <w:r>
        <w:rPr>
          <w:rFonts w:ascii="Times New Roman"/>
          <w:b w:val="false"/>
          <w:i w:val="false"/>
          <w:color w:val="000000"/>
          <w:sz w:val="28"/>
        </w:rPr>
        <w:t>
      в графе «Причины недостижения результатов» подробно описываются причины недостижения запланированных показателей результатов.</w:t>
      </w:r>
      <w:r>
        <w:br/>
      </w:r>
      <w:r>
        <w:rPr>
          <w:rFonts w:ascii="Times New Roman"/>
          <w:b w:val="false"/>
          <w:i w:val="false"/>
          <w:color w:val="000000"/>
          <w:sz w:val="28"/>
        </w:rPr>
        <w:t>
      4) к отчетам, указанным в подпунктах 2) и 3) прилагается аналитическая записка, заполняемая в произвольной форме, содержащая пояснения о решении проблем в отрасли (сфере деятельности) за счет целевых трансфертов, достигнутых целях, показателей результатов.</w:t>
      </w:r>
      <w:r>
        <w:br/>
      </w:r>
      <w:r>
        <w:rPr>
          <w:rFonts w:ascii="Times New Roman"/>
          <w:b w:val="false"/>
          <w:i w:val="false"/>
          <w:color w:val="000000"/>
          <w:sz w:val="28"/>
        </w:rPr>
        <w:t>
      Аналитическая записка включает информацию об использовании акимом области (города республиканского значения, столицы) или акимом района (города областного значения) целевых трансфертов, выделенных из вышестоящего бюджета, содержит основные направления расходования их за отчетный период, анализ достигнутых целей, показателей результатов, описание освоенных или неосвоенных сумм целевых трансфертов с обоснованиями и причинами недостижения запланированных показателей результатов по целевым трансфертам.</w:t>
      </w:r>
      <w:r>
        <w:br/>
      </w:r>
      <w:r>
        <w:rPr>
          <w:rFonts w:ascii="Times New Roman"/>
          <w:b w:val="false"/>
          <w:i w:val="false"/>
          <w:color w:val="000000"/>
          <w:sz w:val="28"/>
        </w:rPr>
        <w:t>
      В случае перераспределения сумм местных бюджетных инвестиционных проектов между объектами в течение финансового года, в аналитической записке указываются причины их перераспределения.</w:t>
      </w:r>
      <w:r>
        <w:br/>
      </w:r>
      <w:r>
        <w:rPr>
          <w:rFonts w:ascii="Times New Roman"/>
          <w:b w:val="false"/>
          <w:i w:val="false"/>
          <w:color w:val="000000"/>
          <w:sz w:val="28"/>
        </w:rPr>
        <w:t>
      5) в Соглашении предусматриваются и другие специфичные условия (обязанности, права, ответственность, условия внесения изменений в Соглашение) в зависимости от направления целевого трансферта на развитие, не противоречащие законодательству.»;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502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«502. Распределение распределяемых бюджетных программ, утверждаемых в бюджете в составе бюджетных программ определенного администратора бюджетных программ и подлежащие распределению в течение текущего финансового года между различными администраторами бюджетных программ осуществляется в порядке, определяемом соответствующими центральными государственными органами по согласованию с центральным уполномоченным органом по бюджетному планированию.</w:t>
      </w:r>
      <w:r>
        <w:br/>
      </w:r>
      <w:r>
        <w:rPr>
          <w:rFonts w:ascii="Times New Roman"/>
          <w:b w:val="false"/>
          <w:i w:val="false"/>
          <w:color w:val="000000"/>
          <w:sz w:val="28"/>
        </w:rPr>
        <w:t>
      Администратор распределяемой бюджетной программы, до 1 ноября текущего финансового года разрабатывает порядок распределения распределяемой бюджетной программы, и направляет его на согласование заинтересованным администраторам бюджетных программ и местным исполнительным органам.</w:t>
      </w:r>
      <w:r>
        <w:br/>
      </w:r>
      <w:r>
        <w:rPr>
          <w:rFonts w:ascii="Times New Roman"/>
          <w:b w:val="false"/>
          <w:i w:val="false"/>
          <w:color w:val="000000"/>
          <w:sz w:val="28"/>
        </w:rPr>
        <w:t>
      В течение пяти рабочих дней со дня принятия Парламентом Республики Казахстан закона об утверждении (уточнении) республиканского бюджета, администратор распределяемой бюджетной программы направляет проект приказа об утверждении порядка распределения распределяемой бюджетной программы на согласование центральному уполномоченному органу по бюджетному планированию.</w:t>
      </w:r>
      <w:r>
        <w:br/>
      </w:r>
      <w:r>
        <w:rPr>
          <w:rFonts w:ascii="Times New Roman"/>
          <w:b w:val="false"/>
          <w:i w:val="false"/>
          <w:color w:val="000000"/>
          <w:sz w:val="28"/>
        </w:rPr>
        <w:t>
      Порядок распределения распределяемой бюджетной программы утверждается приказом руководителя администратора распределяемой бюджетной программы не позднее 31 декабря текущего финансового года в случае утверждения распределяемой бюджетной программы в составе утвержденного бюджета, или в течение месяца со дня принятия Парламентом Республики Казахстан закона об уточненном республиканском бюджете в случае утверждения распределяемой бюджетной программы в составе уточненного бюджета.</w:t>
      </w:r>
      <w:r>
        <w:br/>
      </w:r>
      <w:r>
        <w:rPr>
          <w:rFonts w:ascii="Times New Roman"/>
          <w:b w:val="false"/>
          <w:i w:val="false"/>
          <w:color w:val="000000"/>
          <w:sz w:val="28"/>
        </w:rPr>
        <w:t>
      Нормы, предусмотренные частью второй, третьей, четвертой настоящего пункта не распространяются на порядки распределения средств на финансирование разработки или корректировки, а также проведения необходимых экспертиз технико-экономических обоснований бюджетных инвестиционных проектов, конкурсных документаций проектов государственно-частного партнерства, консультативного сопровождения проектов государственно-частного партнерства.»;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707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«707. После предоставления заявки в соответствии с пунктом 705 настоящих Правил, уполномоченный орган по государственному планированию организует проведение экономической экспертизы инвестиционного проекта и в течение 2-х месяцев готовит экономическое заключение.»;</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733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«733. Заимствование местными исполнительными органами областей, городов республиканского значения, столицы осуществляется в виде получения займов от Правительства Республики Казахстан на покрытие дефицита наличности за счет специального резерва Правительства Республики Казахстан на очередной финансовый год и выпуска местными исполнительными органами городов республиканского значения, столицы государственных ценных бумаг для обращения на внутреннем рынке для финансирования дефицита бюджета города республиканского значения, столицы, а также в виде выпуска местными исполнительными органами областей, городов республиканского значения, столицы государственных ценных бумаг для обращения на внутреннем рынке для финансирования строительства жилья в рамках реализации государственных и правительственных программ.»;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735</w:t>
      </w:r>
      <w:r>
        <w:rPr>
          <w:rFonts w:ascii="Times New Roman"/>
          <w:b w:val="false"/>
          <w:i w:val="false"/>
          <w:color w:val="000000"/>
          <w:sz w:val="28"/>
        </w:rPr>
        <w:t>, </w:t>
      </w:r>
      <w:r>
        <w:rPr>
          <w:rFonts w:ascii="Times New Roman"/>
          <w:b w:val="false"/>
          <w:i w:val="false"/>
          <w:color w:val="000000"/>
          <w:sz w:val="28"/>
        </w:rPr>
        <w:t>736</w:t>
      </w:r>
      <w:r>
        <w:rPr>
          <w:rFonts w:ascii="Times New Roman"/>
          <w:b w:val="false"/>
          <w:i w:val="false"/>
          <w:color w:val="000000"/>
          <w:sz w:val="28"/>
        </w:rPr>
        <w:t xml:space="preserve"> и </w:t>
      </w:r>
      <w:r>
        <w:rPr>
          <w:rFonts w:ascii="Times New Roman"/>
          <w:b w:val="false"/>
          <w:i w:val="false"/>
          <w:color w:val="000000"/>
          <w:sz w:val="28"/>
        </w:rPr>
        <w:t>737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«735. Местный уполномоченный орган по государственному планированию области, города республиканского значения, столицы с учетом лимита долга местного исполнительного органа и перечня приоритетных (республиканских или местных) бюджетных инвестиционных проектов (программ) направляет на рассмотрение соответствующей бюджетной комиссии предложения по заимствованию местным исполнительным органом области, города республиканского значения, столицы путем выпуска государственных ценных бумаг для обращения на внутреннем рынке, а также для финансирования строительства жилья в рамках реализации государственных и правительственных программ и составляет проект решения маслихата о бюджете области, города республиканского значения, столицы на очередной финансовый год в установленном порядке.</w:t>
      </w:r>
      <w:r>
        <w:br/>
      </w:r>
      <w:r>
        <w:rPr>
          <w:rFonts w:ascii="Times New Roman"/>
          <w:b w:val="false"/>
          <w:i w:val="false"/>
          <w:color w:val="000000"/>
          <w:sz w:val="28"/>
        </w:rPr>
        <w:t>
      736. Заимствование местными исполнительными органами осуществляется в форме договора займа, выпуска государственных ценных бумаг для обращения на внутреннем рынке местными исполнительными органами области, города республиканского значения, столицы.</w:t>
      </w:r>
      <w:r>
        <w:br/>
      </w:r>
      <w:r>
        <w:rPr>
          <w:rFonts w:ascii="Times New Roman"/>
          <w:b w:val="false"/>
          <w:i w:val="false"/>
          <w:color w:val="000000"/>
          <w:sz w:val="28"/>
        </w:rPr>
        <w:t>
      737. Центральный уполномоченный орган по государственному планированию по согласованию с уполномоченным органом по исполнению бюджета согласно </w:t>
      </w:r>
      <w:r>
        <w:rPr>
          <w:rFonts w:ascii="Times New Roman"/>
          <w:b w:val="false"/>
          <w:i w:val="false"/>
          <w:color w:val="000000"/>
          <w:sz w:val="28"/>
        </w:rPr>
        <w:t>пункта 2</w:t>
      </w:r>
      <w:r>
        <w:rPr>
          <w:rFonts w:ascii="Times New Roman"/>
          <w:b w:val="false"/>
          <w:i w:val="false"/>
          <w:color w:val="000000"/>
          <w:sz w:val="28"/>
        </w:rPr>
        <w:t xml:space="preserve"> статьи 210 Бюджетного кодекса устанавливает лимит долга местных исполнительных органов на планируемый год.»;</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738</w:t>
      </w:r>
      <w:r>
        <w:rPr>
          <w:rFonts w:ascii="Times New Roman"/>
          <w:b w:val="false"/>
          <w:i w:val="false"/>
          <w:color w:val="000000"/>
          <w:sz w:val="28"/>
        </w:rPr>
        <w:t xml:space="preserve"> и </w:t>
      </w:r>
      <w:r>
        <w:rPr>
          <w:rFonts w:ascii="Times New Roman"/>
          <w:b w:val="false"/>
          <w:i w:val="false"/>
          <w:color w:val="000000"/>
          <w:sz w:val="28"/>
        </w:rPr>
        <w:t>739</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пункт 740 изложить в следующей редакции:</w:t>
      </w:r>
      <w:r>
        <w:br/>
      </w:r>
      <w:r>
        <w:rPr>
          <w:rFonts w:ascii="Times New Roman"/>
          <w:b w:val="false"/>
          <w:i w:val="false"/>
          <w:color w:val="000000"/>
          <w:sz w:val="28"/>
        </w:rPr>
        <w:t>
      «740. На основании решения Бюджетной комиссии и утвержденных параметров дефицита местных бюджетов, а также для выпуска местными исполнительными органами областей, города республиканского значения, столицы государственных ценных бумаг для обращения на внутреннем рынке для финансирования строительства жилья в рамках реализации государственных и правительственных программ местный уполномоченный орган по исполнению бюджета определяет и согласовывает с центральным уполномоченным органом по исполнению бюджета объемы и условия заимствования, а также размеры погашения и обслуживания долга, утверждаемых в местных бюджетах на очередной финансовый год, в соответствии со </w:t>
      </w:r>
      <w:r>
        <w:rPr>
          <w:rFonts w:ascii="Times New Roman"/>
          <w:b w:val="false"/>
          <w:i w:val="false"/>
          <w:color w:val="000000"/>
          <w:sz w:val="28"/>
        </w:rPr>
        <w:t>статьей 211</w:t>
      </w:r>
      <w:r>
        <w:rPr>
          <w:rFonts w:ascii="Times New Roman"/>
          <w:b w:val="false"/>
          <w:i w:val="false"/>
          <w:color w:val="000000"/>
          <w:sz w:val="28"/>
        </w:rPr>
        <w:t xml:space="preserve"> Бюджетного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882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«882. Регистрация государственных обязательств по проектам ГЧП, в том числе государственных концессионных обязательств Правительства Республики Казахстан осуществляется на основании соответствующих договоров ГЧП, в том числе договоров концессии путем присвоения государственному обязательству по проекту ГЧП, в том числе государственному концессионному обязательству и договору ГЧП, в том числе договору концессии единого регистрационного номера и внесения в реестр государственных обязательств по проектам ГЧП, в том числе государственных концессионных обязательств.»;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887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«887. Регистрация государственных обязательств по проектам ГЧП, в том числе государственных концессионных обязательств местных исполнительных органов осуществляется путем присвоения государственному обязательству по проекту ГЧП, в том числе государственному концессионному обязательству и договору ГЧП, в том числе договору концессии единого регистрационного номера и внесения его в реестр государственных обязательств по проектам ГЧП, в том числе государственных концессионных обязательств.»;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112</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в разделе «10. Форма и сроки представления отчета» пункт 3 изложить в следующей редакции:</w:t>
      </w:r>
      <w:r>
        <w:br/>
      </w:r>
      <w:r>
        <w:rPr>
          <w:rFonts w:ascii="Times New Roman"/>
          <w:b w:val="false"/>
          <w:i w:val="false"/>
          <w:color w:val="000000"/>
          <w:sz w:val="28"/>
        </w:rPr>
        <w:t>
      «3. Итоговый отчет акима о фактическом достижении прямых и конечных результатов должен быть представлен не позднее 1 февраля следующего финансового года.***».</w:t>
      </w:r>
      <w:r>
        <w:br/>
      </w:r>
      <w:r>
        <w:rPr>
          <w:rFonts w:ascii="Times New Roman"/>
          <w:b w:val="false"/>
          <w:i w:val="false"/>
          <w:color w:val="000000"/>
          <w:sz w:val="28"/>
        </w:rPr>
        <w:t>
</w:t>
      </w: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информационно-правовой системе «Әділет»;</w:t>
      </w:r>
      <w:r>
        <w:br/>
      </w:r>
      <w:r>
        <w:rPr>
          <w:rFonts w:ascii="Times New Roman"/>
          <w:b w:val="false"/>
          <w:i w:val="false"/>
          <w:color w:val="000000"/>
          <w:sz w:val="28"/>
        </w:rPr>
        <w:t>
      3) в течение пяти рабочих дней со дня получения настоящего приказа от Министерства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r>
        <w:br/>
      </w:r>
      <w:r>
        <w:rPr>
          <w:rFonts w:ascii="Times New Roman"/>
          <w:b w:val="false"/>
          <w:i w:val="false"/>
          <w:color w:val="000000"/>
          <w:sz w:val="28"/>
        </w:rPr>
        <w:t>
      4) размещение настоящего приказа на интернет-ресурсе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его государственной регистрации.</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финансов</w:t>
      </w:r>
      <w:r>
        <w:br/>
      </w:r>
      <w:r>
        <w:rPr>
          <w:rFonts w:ascii="Times New Roman"/>
          <w:b w:val="false"/>
          <w:i w:val="false"/>
          <w:color w:val="000000"/>
          <w:sz w:val="28"/>
        </w:rPr>
        <w:t>
</w:t>
      </w:r>
      <w:r>
        <w:rPr>
          <w:rFonts w:ascii="Times New Roman"/>
          <w:b w:val="false"/>
          <w:i/>
          <w:color w:val="000000"/>
          <w:sz w:val="28"/>
        </w:rPr>
        <w:t>      Республики Казахстан                       Б. Султанов</w:t>
      </w:r>
    </w:p>
    <w:p>
      <w:pPr>
        <w:spacing w:after="0"/>
        <w:ind w:left="0"/>
        <w:jc w:val="both"/>
      </w:pPr>
      <w:r>
        <w:rPr>
          <w:rFonts w:ascii="Times New Roman"/>
          <w:b w:val="false"/>
          <w:i w:val="false"/>
          <w:color w:val="000000"/>
          <w:sz w:val="28"/>
        </w:rPr>
        <w:t>      </w:t>
      </w:r>
      <w:r>
        <w:rPr>
          <w:rFonts w:ascii="Times New Roman"/>
          <w:b w:val="false"/>
          <w:i/>
          <w:color w:val="000000"/>
          <w:sz w:val="28"/>
        </w:rPr>
        <w:t>«СОГЛАСОВАН»</w:t>
      </w:r>
      <w:r>
        <w:br/>
      </w:r>
      <w:r>
        <w:rPr>
          <w:rFonts w:ascii="Times New Roman"/>
          <w:b w:val="false"/>
          <w:i w:val="false"/>
          <w:color w:val="000000"/>
          <w:sz w:val="28"/>
        </w:rPr>
        <w:t>
</w:t>
      </w:r>
      <w:r>
        <w:rPr>
          <w:rFonts w:ascii="Times New Roman"/>
          <w:b w:val="false"/>
          <w:i/>
          <w:color w:val="000000"/>
          <w:sz w:val="28"/>
        </w:rPr>
        <w:t>      Министр национальной экономики</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_________________ К. Бишимбаев</w:t>
      </w:r>
      <w:r>
        <w:br/>
      </w:r>
      <w:r>
        <w:rPr>
          <w:rFonts w:ascii="Times New Roman"/>
          <w:b w:val="false"/>
          <w:i w:val="false"/>
          <w:color w:val="000000"/>
          <w:sz w:val="28"/>
        </w:rPr>
        <w:t>
</w:t>
      </w:r>
      <w:r>
        <w:rPr>
          <w:rFonts w:ascii="Times New Roman"/>
          <w:b w:val="false"/>
          <w:i/>
          <w:color w:val="000000"/>
          <w:sz w:val="28"/>
        </w:rPr>
        <w:t>      «____» июня 2016 года</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Председатель Национального</w:t>
      </w:r>
      <w:r>
        <w:br/>
      </w:r>
      <w:r>
        <w:rPr>
          <w:rFonts w:ascii="Times New Roman"/>
          <w:b w:val="false"/>
          <w:i w:val="false"/>
          <w:color w:val="000000"/>
          <w:sz w:val="28"/>
        </w:rPr>
        <w:t>
</w:t>
      </w:r>
      <w:r>
        <w:rPr>
          <w:rFonts w:ascii="Times New Roman"/>
          <w:b w:val="false"/>
          <w:i/>
          <w:color w:val="000000"/>
          <w:sz w:val="28"/>
        </w:rPr>
        <w:t>      банка Республики Казахстан</w:t>
      </w:r>
      <w:r>
        <w:br/>
      </w:r>
      <w:r>
        <w:rPr>
          <w:rFonts w:ascii="Times New Roman"/>
          <w:b w:val="false"/>
          <w:i w:val="false"/>
          <w:color w:val="000000"/>
          <w:sz w:val="28"/>
        </w:rPr>
        <w:t>
</w:t>
      </w:r>
      <w:r>
        <w:rPr>
          <w:rFonts w:ascii="Times New Roman"/>
          <w:b w:val="false"/>
          <w:i/>
          <w:color w:val="000000"/>
          <w:sz w:val="28"/>
        </w:rPr>
        <w:t>      ________________ Д. Акишев</w:t>
      </w:r>
      <w:r>
        <w:br/>
      </w:r>
      <w:r>
        <w:rPr>
          <w:rFonts w:ascii="Times New Roman"/>
          <w:b w:val="false"/>
          <w:i w:val="false"/>
          <w:color w:val="000000"/>
          <w:sz w:val="28"/>
        </w:rPr>
        <w:t>
</w:t>
      </w:r>
      <w:r>
        <w:rPr>
          <w:rFonts w:ascii="Times New Roman"/>
          <w:b w:val="false"/>
          <w:i/>
          <w:color w:val="000000"/>
          <w:sz w:val="28"/>
        </w:rPr>
        <w:t>      6 июня 2016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