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b000" w14:textId="ab5b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23 июня 2016 года № 396. Зарегистрирован в Министерстве юстиции Республики Казахстан 25 июля 2016 года № 13976. Утратил силу приказом Министра образования и науки Республики Казахстан от 26 мая 2020 года №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26.05.2020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июня 2015 года № 346 "Об утверждении регламентов государственных услуг по вопросам направления на обучение за рубеж, в том числе в рамках международной стипендии "Болашак" зарегистрированный в Реестре государственной регистрации нормативных правовых актов под № 11533, опубликованный в информационно-правовой системе "Әділет" 15 июля 2015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обучение за рубежом, в том числе в рамках академической мобильности", утвержденный приложением 8 указанного приказа, изложить в редакции согласно приложению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(Г.И. Кобенова)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Иcполняющий</w:t>
      </w:r>
      <w:r>
        <w:rPr>
          <w:rFonts w:ascii="Times New Roman"/>
          <w:b w:val="false"/>
          <w:i/>
          <w:color w:val="000000"/>
          <w:sz w:val="28"/>
        </w:rPr>
        <w:t xml:space="preserve">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                       Э. </w:t>
      </w:r>
      <w:r>
        <w:rPr>
          <w:rFonts w:ascii="Times New Roman"/>
          <w:b w:val="false"/>
          <w:i/>
          <w:color w:val="000000"/>
          <w:sz w:val="28"/>
        </w:rPr>
        <w:t>Суханбердиева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346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обучение за</w:t>
      </w:r>
      <w:r>
        <w:br/>
      </w:r>
      <w:r>
        <w:rPr>
          <w:rFonts w:ascii="Times New Roman"/>
          <w:b/>
          <w:i w:val="false"/>
          <w:color w:val="000000"/>
        </w:rPr>
        <w:t>рубежом, в том числе в рамках академической мобильности"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образования и науки Республики Казахстан и высшими учебными заведениями Республики Казахстан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обучение за рубежом, в том числе в рамках академической мобильности" (далее – стандарт), утвержденного приказом Министра образования и науки Республики Казахстан от 9 апреля 2015 года № 187, зарегистрированного в Реестре государственной регистрации нормативных правовых актов за № 11195.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– расписка о приеме документов к участию в конкурсе на обучение за рубежом, в том числе в рамках академической мобильности.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веб-портал "электронного правительства"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или запрос, в форме электронного документа, удостоверенного ЭЦП услугополучателя с загрузкой в электронной форме и приложением необходимых документов услугодателю,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Бумажная форма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прием услугодателем представленных услугополучателем документов, согласно перечню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проверка услугодателем полноты представленных документов, в том числе в электронной форме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проверка услугодателем представленных услугополучателем документов на соответствие условиям и требованиям для участия в конкурсе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– выдача услугополучателю расписки о допуске к участию в конкурсе – 10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для получения государственной услуги, в том числе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расписки о допуске к участию в конкурсе;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расписки о допуске к участию в конкурсе.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участвует уполномоченный сотрудник структурного подразделения услугодателя, ответственный по приему документов и организации конкурса.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отражено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рубежом, 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структурными подразделениями (работниками) 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рубежом, в том числе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мобильности"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обучение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за рубежом, в том числе в рамках академической мобильности" 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