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b253" w14:textId="518b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предоставления спутниковых навигационных услуг национальным оператором системы высокоточной спутниковой навигации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20 июня 2016 года № 512 и Министра обороны Республики Казахстан от 27 июня 2016 года № 312. Зарегистрирован в Министерстве юстиции Республики Казахстан 16 августа 2016 года № 14115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«О космической деятельности»,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предоставления спутниковых навигационных услуг национальным оператором системы высокоточной спутниковой навигации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(Шаймагамбетов Е.М.)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без приложения 1 к Правилам организации и предоставления спутниковых навигационных услуг национальным оператором системы высокоточной спутниковой навигации (для служебного пользования)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совместного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без приложения 1 к Правилам организации и предоставления спутниковых навигационных услуг национальным оператором системы высокоточной спутниковой навигации (для служебного пользования)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совместного приказа до заинтересованных государственных органов (ведомств, организаций) Республики Казахстан и национального оператора системы высокоточной спутниковой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опубликования, за исключением приложения 1 к Правилам.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97"/>
        <w:gridCol w:w="7103"/>
      </w:tblGrid>
      <w:tr>
        <w:trPr>
          <w:trHeight w:val="1740" w:hRule="atLeast"/>
        </w:trPr>
        <w:tc>
          <w:tcPr>
            <w:tcW w:w="6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 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______________ 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20 июня 2016 года</w:t>
            </w:r>
          </w:p>
        </w:tc>
        <w:tc>
          <w:tcPr>
            <w:tcW w:w="7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 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 _________ И. 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 27 июня 2016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Куренбеков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Службы внешней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Байжанов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 2016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2016 года № 512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обороны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2016 года № 312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спутниковых навигационных услуг национальным оператором</w:t>
      </w:r>
      <w:r>
        <w:br/>
      </w:r>
      <w:r>
        <w:rPr>
          <w:rFonts w:ascii="Times New Roman"/>
          <w:b/>
          <w:i w:val="false"/>
          <w:color w:val="000000"/>
        </w:rPr>
        <w:t>
системы высокоточной спутниковой навигации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предоставления спутниковых навигационных услуг национальным оператором системы высокоточной спутниковой навигации (далее – Правила) разработаны в соответствии с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«О космической деятельности» и определяют порядок организации и предоставления спутниковых навигационных услуг </w:t>
      </w:r>
      <w:r>
        <w:rPr>
          <w:rFonts w:ascii="Times New Roman"/>
          <w:b w:val="false"/>
          <w:i w:val="false"/>
          <w:color w:val="000000"/>
          <w:sz w:val="28"/>
        </w:rPr>
        <w:t>национальным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оператором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высокоточной спутниковой 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высокоточное позиционирование – предоставление центром дифференциальной коррекции и мониторинга корректирующей информации потребителям для обеспечения их «метровой», «сантиметровой» либо «миллиметровой» точности определения своих пространственных координат и составляющих вектора скорости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 высокоточной спутниковой навигации (далее – СВСН) – комплекс технических и программных средств, предназначенных для обеспечения пользователей глобальной навигационной спутниковой системы дополнительной информацией, позволяющей повысить точность определения координатно-временных параметров, в том числе географических координат и высот, скорости и направления движения,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информационные ресурсы СВСН – совокупность данных (сообщений, сведений, информации), генерируемых и используемых национальным оператором СВСН для решения задач предоставления спутниковых навигационных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информационно-телекоммуникационная инфраструктура СВСН – информационно-телекоммуникационная среда, обеспечивающая сбор, обработку и передачу информационных ресурсов СВСН, в том числе путем использования ведомственных либо общедоступных систем связи 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национальный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СВСН (далее – оператор СВСН)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СВСН;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глобальные навигационные спутниковые системы (далее - ГНСС) – космические системы, предназначенные для определения координатно-временных параметров (географических координат и высот, скорости и направления движения, времени) наземных, водных и воздушных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навигационная аппаратура потребителя ГНСС (далее – НАП) – аппаратура для приема и обработки навигационных сигналов стандартной точности системы глобальной навигационной спутниковой системы Российской Федерации, других ГНСС и средств их функциональных дополнений с целью определением потребителем трех координат местоположения, трех составляющих вектора скорости и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контрольно-корректирующая станция дифференциальной подсистемы ГНСС (далее - дифференциальная станция) - комплекс радиоэлектронных и технических средств, расположенный в точке с известными координатами, предназначенный для приема и обработки навигационных сигналов ГНСС, вычисления поправок к пространственным координатам точки и передачи их по каналам связи потребителю ГНСС для повышения точности определения его пространственных координат при нахождении потребителя ГНСС в радиусе действия дифференциальных поправок;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диспетчеризация подвижных объектов – процесс решения задач сбора и обработки данных о координатно-временных параметрах движения объектов навигационной деятельности посредством использования функционально взаимосвязанных средств вычислительного центра (в составе центра дифференциальной коррекции и мониторинга) СВСН, ее информационно-телекоммуникационной инфраструктуры и терминалов навигационных;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система мониторинга пространственно-протяженных объектов (далее – СМППО) – комплекс технических и программных средств, предназначенный для выполнения автоматизированного мониторинга напряжено-деформационного состояния стратегических и режимных объектов и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объекты навигационной деятельности – объекты, оснащенные НАП, и участвующие в процессе использования информационных ресурсов СВСН;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терминал навигационный (далее – ТН) – НАП ГНСС, с дополнительной функцией определения, хранения и передачи координатно-временных, телеметрических параметров и иной служебной информации в системах диспетчеризации подвижных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глобальная навигационная спутниковая система Российской Федерации (далее – ГЛОНАСС) – навигационная спутниковая система Российской Федерации, предназначенная для определения пространственных координат, составляющих вектора скорости движения, поправки показаний часов и скорости изменения поправки показаний часов потребителя глобальной навигационной спутниковой системы в любой точке поверхности Земли, акватории Мирового океана, воздушного и околоземного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сигналы стандартной точности системы ГЛОНАСС – сигнал, передаваемый навигационными спутниками системы ГЛОНАСС в трех поддиапазонах L диапазона (L1, L2 и L3), как это определено в интерфейсных контрольных документах для соответствующих сигналов, и в любых других будущих поддиапазонах, доступных всем потребителям навигационных сигналов системы ГЛОНАСС, для определения трех координат местоположения, трех составляющих вектора скорости и положения временной шкалы потребителя относительно системного времени ГЛОНАСС и национальной шкалы времени Российской Федерации UTC (SU);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центр дифференциальной коррекции и мониторинга – комплекс технических и программных средств, предназначенный для приема и обработки данных, полученных от дифференциальных станций, и использующий информационно-телекоммуникационную инфраструктуру СВСН для обеспечения потребителей информационными ресурсами СВСН;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спутниковые навигационные услуги – деятельность, направленная на удовлетворение потребностей в дополнительных (относительно стандартно предоставляемых ГНСС) услугах по определению координатно-временных параметров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потребитель спутниковых навигационных услуг (далее – потребитель) – физическое или юридическое лицо, использующее услуги оператора СВСН;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корректирующая информация (далее – КИ) – данные, содержащие дифференциальные поправки к измеряемым навигационным параметрам и другие сообщения, используемые в навигационной аппаратуре потребителей для повышения точности, надежности и достоверности навигационно-временных определений.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организации спутниковых</w:t>
      </w:r>
      <w:r>
        <w:br/>
      </w:r>
      <w:r>
        <w:rPr>
          <w:rFonts w:ascii="Times New Roman"/>
          <w:b/>
          <w:i w:val="false"/>
          <w:color w:val="000000"/>
        </w:rPr>
        <w:t>
навигационных услуг оператором СВСН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Особенности организации и предоставления спутниковых навигационных услуг оператором СВСН в интересах обеспечения обороны и безопасности Республики Казахстан регламентируется в соответствии с приложением 1 к настоящим Правилам (для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местах дислокации режимных, особо режимных и особо охраняемых объектов, определяемых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марта 1999 года «О государственных секретах», использование информационных ресурсов СВСН ограничивается.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возникновении чрезвычайной ситуации природного и техногенного характера оператор СВСН при взаимодействии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защиты обеспечивает абсолютный приоритет использования спутниковых навигационных услуг для проведения мероприятий в области безопасности и </w:t>
      </w:r>
      <w:r>
        <w:rPr>
          <w:rFonts w:ascii="Times New Roman"/>
          <w:b w:val="false"/>
          <w:i w:val="false"/>
          <w:color w:val="000000"/>
          <w:sz w:val="28"/>
        </w:rPr>
        <w:t>информирования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чрезвычайных ситуациях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гражданской защите».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спутниковых навигационных услуг оператором СВСН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Гарантированный объем предоставляемых оператором СВСН спутниковых навигационных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 высокоточного позиционирования;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 по оценке соответствия НАП заявленным техническим характеристикам, представленным в паспорте НАП;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услуги по разработке, производству, реализации и сервисному обслуживанию НАП и ТН;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услуги по диспетчеризации подвижных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услуги по созданию СМППО и их техническая поддержка;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услуги по обучению потребителей использованию НАП и ТН.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оператором СВСН спутниковых навигационных услуг осуществляется на основе принятых заявок на подключение к услугам высокоточного позиционирования для физических и юридических лиц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Время поступления заявки на подключение к услугам высокоточного позиционирования для физических и юридических лиц на предоставление оператором СВСН услуг высокоточного позиционирования не должно превышать двух рабочих дней до запланированной потребителем даты использования информационных ресурсов СВСН.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Услуги высокоточного позиционирования оператора СВСН предоставляются при наличии у потребителей НАП с функцией приема 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Услуги оператора СВСН по диспетчеризации подвижных объектов предоставляются при наличии у потребителей ТН и обеспечении ими каналов связи с вычислительным центром (в составе центра дифференциальной коррекции и мониторинга) СВСН.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СВСН в течение одного рабочего дня с момента принятия заявки на подключение к услугам высокоточного позиционирования для физических и юридических лиц рассматривает ее на предмет технической и организационной возможности оказания спутниковой навигационной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результате рассмотрения заявки на подключение к услугам высокоточного позиционирования для физических и юридических лиц оператор СВСН заключает с потребителем договор на оказание спутниковых навигационных услуг либо направляет потребителю уведомление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потребителю спутниковой навигационной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формы или некорректное заполнение потребителем формы заявки на подключение к услугам высокоточного позиционирования для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невыполнение потребителем договорных обязательств по оплате за спутниковые навигационные услуги, предоставленные ранее оператором СВСН;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возможности передачи потребителю результатов спутниковых навигационных услуг, ограниченных в распространении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«О доступе к информации».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и порядок оплаты за спутниковые навигационные услуги указываются в Договоре.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Для служебного пользования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 № 2     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спутниковых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навигационных услуг национальным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оператором системы высокоточной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спутниковой навигации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 документы с грифом "ДСП" в базу данных "Закон" не вводятся.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спутниковых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навигационных услуг национальным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оператором системы высокоточной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спутниковой навигации     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Заявка на подключение к услугам высокоточного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позиционирования для юридических лиц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713"/>
        <w:gridCol w:w="9737"/>
      </w:tblGrid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на подключение к услугам высокоточного позиционирования для юридических лиц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компании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компании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заявителя: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(мобильный/городской)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Используемый навигационный приемник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навигационного приемника: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навигационных приемников планируемых использовать для работы с СВСН: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заказываемой услуги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Требуемое место оказания услуги (город/село/район)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Город: ____________ Район: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 __________ Село: ___________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Требуемая система координат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WGS -84                   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Местная система координат 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СК-63                     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(указать требуемую СК)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формат корректирующей информации 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RTCM v.2.0       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CMR+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RTCM v.3.0       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Leica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CMR              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(указать требуемый формат)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период оказания услуг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оказания услуг: «___» 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оказания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изыскательскую деятельность (инженерно-геодезические работы) (выданная уполномоченным органом (при наличии))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лицензии: «___» _____________ _______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лицензии: ______________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в сфере использования космического пространства (выданная уполномоченным органом в области космической деятельности (при наличии))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лицензии: «___» _____________ _______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лицензии: ______________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данные заявителя на Портале*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Логин: ____________ Пароль: 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Портал услуг высокоточного позиционирования СВСН http://svsn.kz/sbc. Логин и Пароль указываются клиентом для выполнения первичной аутентификации. В последующем потребителю необходимо изменить назначенный Пароль на портале СВСН.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подключение к услугам высокоточного позиционирования для юридических лиц принимается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государственной регистрации или перерегистрации юридического лица (свидетельства об учетной регистрации филиала или представительства);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подключение к услугам высокоточного позиционирования для юридических лиц обеспечивается при условии обязательного включения на навигационном приемнике потребителя функции передачи GGA сообщений протокола NMEA.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подателя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 20___ год</w:t>
      </w:r>
    </w:p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Заявка на подключение к услугам высокоточного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позиционирования для физических лиц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906"/>
        <w:gridCol w:w="10607"/>
      </w:tblGrid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на подключение к услугам высокоточного позиционирования для физических лиц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заявителя: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(мобильный/городской)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Используемый навигационный приемник 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навигационного приемника: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навигационных приемников планируемых использовать для работы с СВСН: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заказываемой услуги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Требуемое место оказания услуги (город/село/район)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Город: ____________ Район: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 __________ Село: ___________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Требуемая система координат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WGS -84                      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Местная система координат    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СК-63                        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 (указать требуемую СК)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формат корректирующей информации 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RTCM v.2.0                   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CMR+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RTCM v.3.0                   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Leica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CMR                          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 (указать требуемый формат)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период оказания услуг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начала оказания услуг: «___» _______________ 20__ г. Период оказания услуг: 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изыскательскую деятельность (инженерно-геодезические работы) (выданная уполномоченным органом (при наличии))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лицензии: «___» _____________ _______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лицензии: ______________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осуществление космической деятельности (выданная уполномоченным органом в сфере использования космического пространства (при наличии))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лицензии: «___» _____________ _______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лицензии: ______________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Идентификационные данные заявителя на Портале* 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Логин: ____________ Пароль: 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*Портал услуг высокоточного позиционирования СВСН http://svsn.kz/sbc. Логин и Пароль указываются клиентом для выполнения первичной аутентификации. В последующем потребителю необходимо изменить назначенный Пароль на портале СВСН.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подключение к услугам высокоточного позиционирования для физических лиц обеспечивается при условии обязательного включения на навигационном приемнике потребителя функции передачи GGA сообщений протокола NMEA.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подателя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«___»______20___год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