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85d8" w14:textId="f128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351. Зарегистрирован в Министерстве юстиции Республики Казахстан 26 августа 2016 года № 14163.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494-нқ и Министра национальной экономики РК от 22.12.2022 № 134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1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согласно приложению 1 к настоящему совместному приказу;</w:t>
      </w:r>
    </w:p>
    <w:bookmarkEnd w:id="2"/>
    <w:bookmarkStart w:name="z1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Проверочный лист в сфере реализации ювелирных и других изделий из драгоценных металлов и драгоценных камней в отношении субъекта (объекта) осуществляющего реализацию ювелирных и других изделий из драгоценных металлов и драгоценных камней согласно приложению 2 к настоящему совместному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494-нқ и Министра национальной экономики РК от 22.12.2022 № 134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Ж. Касымбек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К. Бишимбаев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С. Айтпаева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2018 года № 351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494-нқ и Министра национальной экономики РК от 22.12.2022 № 134 (вводится в действие с 01.01.2023).</w:t>
      </w:r>
    </w:p>
    <w:bookmarkStart w:name="z1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сфере реализации ювелирных и других изделий из драгоценных металлов и драгоценных камней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за № 28577).</w:t>
      </w:r>
    </w:p>
    <w:bookmarkEnd w:id="9"/>
    <w:bookmarkStart w:name="z1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0"/>
    <w:bookmarkStart w:name="z3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ювелирные и другие изделия из драгоценных металлов и драгоценных камней (далее – ювелирные и другие изделия) – изделия, за исключением монет из драгоценных металлов, изготовленные из драгоценных камней, драгоценных металлов и их сплавов с использованием различных видов художественной обработки, со вставками из драгоценных камней и других материалов природного или искусственного происхождения либо без них, применяемые в качестве различных украшений, утилитарных предметов быта и (или) для культовых и декоративных целей;</w:t>
      </w:r>
    </w:p>
    <w:bookmarkEnd w:id="11"/>
    <w:bookmarkStart w:name="z35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12"/>
    <w:bookmarkStart w:name="z3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3"/>
    <w:bookmarkStart w:name="z3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в сфере реализации ювелирных и других изделий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4"/>
    <w:bookmarkStart w:name="z3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контроля в сфере реализации ювелирных и других изделий (далее - субъекты контроля) – юридические лица и индивидуальные предприниматели, осуществляющие реализацию ювелирных и других изделий на территории Республики Казахстан;</w:t>
      </w:r>
    </w:p>
    <w:bookmarkEnd w:id="15"/>
    <w:bookmarkStart w:name="z3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значительные нарушения в сфере реализации ювелирных и других изделий – нарушения требований в виде реализации ювелирных и других изделий без информации на ярлыках об использовании недрагоценного камня в качестве вставок в ювелирные и другие изделия, отсутствие регистрации именника в уполномоченной организации;</w:t>
      </w:r>
    </w:p>
    <w:bookmarkEnd w:id="16"/>
    <w:bookmarkStart w:name="z3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незначительные нарушения в сфере реализации ювелирных и других изделий – нарушения требований законодательства Республики Казахстан в сфере реализации ювелирных и других изделий, не относящиеся к значительным и грубым нарушениям;</w:t>
      </w:r>
    </w:p>
    <w:bookmarkEnd w:id="17"/>
    <w:bookmarkStart w:name="z3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грубые нарушения в сфере реализации ювелирных и других изделий – нарушения требований в части реализации ювелирных и других изделий без наличия пробирного клейма, оттиска именника, проставляемого субъектом производства ювелирных и других изделий, экспертного заключения,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союз;</w:t>
      </w:r>
    </w:p>
    <w:bookmarkEnd w:id="18"/>
    <w:bookmarkStart w:name="z3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9"/>
    <w:bookmarkStart w:name="z3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20"/>
    <w:bookmarkStart w:name="z3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1"/>
    <w:bookmarkStart w:name="z3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сфере реализации ювелирных и других изделий,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22"/>
    <w:bookmarkStart w:name="z3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проверочный лист -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3"/>
    <w:bookmarkStart w:name="z3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выборочная совокупность (выборка) – перечень оцениваемых субъектов (объектов), относимых к однородной группе субъектов (объектов)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сфере реализации ювелирных и других изделий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25"/>
    <w:bookmarkStart w:name="z1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6"/>
    <w:bookmarkStart w:name="z1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7"/>
    <w:bookmarkStart w:name="z1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28"/>
    <w:bookmarkStart w:name="z1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29"/>
    <w:bookmarkStart w:name="z1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0"/>
    <w:bookmarkStart w:name="z1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законных интересов физических и юридических лиц, государства.</w:t>
      </w:r>
    </w:p>
    <w:bookmarkEnd w:id="31"/>
    <w:bookmarkStart w:name="z1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32"/>
    <w:bookmarkStart w:name="z1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реализации ювелирных и других изделий из драгоценных металлов и драгоценных камней к высокой степени риска по объективным критериям относятся:</w:t>
      </w:r>
    </w:p>
    <w:bookmarkEnd w:id="33"/>
    <w:bookmarkStart w:name="z1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(индивидуальные предприниматели, юридические лица), которые осуществляют ввоз на территорию Республики Казахстан из стран, не входящих в Евразийский экономический союз, и вывоз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34"/>
    <w:bookmarkStart w:name="z17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(индивидуальные предприниматели, юридические лица), которые осуществляют реализацию ювелирных и других изделий из драгоценных металлов и драгоценных камней за исключением продукции отечественного производителя Республики Казахстан.</w:t>
      </w:r>
    </w:p>
    <w:bookmarkEnd w:id="35"/>
    <w:bookmarkStart w:name="z1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средней степени риска относятся:</w:t>
      </w:r>
    </w:p>
    <w:bookmarkEnd w:id="36"/>
    <w:bookmarkStart w:name="z1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(индивидуальные предприниматели, юридические лица), которые осуществляют ввоз на территорию Республики Казахстан из стран, входящих в Евразийский экономический союз, и вывоз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37"/>
    <w:bookmarkStart w:name="z1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(юридические лица) крупного и среднего предпринимательства, которые осуществляют реализацию ювелирных и других изделий из драгоценных металлов и драгоценных камней отечественного производителя Республики Казахстан.</w:t>
      </w:r>
    </w:p>
    <w:bookmarkEnd w:id="38"/>
    <w:bookmarkStart w:name="z1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низкой степени риска относятся субъекты (индивидуальные предприниматели, юридические лица) малого и микропредпринимательства, осуществляющие реализацию ювелирных и других изделий из драгоценных металлов и драгоценных камней отечественного производителя Республики Казахстан.</w:t>
      </w:r>
    </w:p>
    <w:bookmarkEnd w:id="39"/>
    <w:bookmarkStart w:name="z1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или средней степени риска, проводятся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40"/>
    <w:bookmarkStart w:name="z1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отнесенных к низкой степени риска, проводятся профилактический контроль без посещения субъекта (объекта) контроля и внеплановая проверка.</w:t>
      </w:r>
    </w:p>
    <w:bookmarkEnd w:id="41"/>
    <w:bookmarkStart w:name="z18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2"/>
    <w:bookmarkStart w:name="z18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3"/>
    <w:bookmarkStart w:name="z18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4"/>
    <w:bookmarkStart w:name="z18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5"/>
    <w:bookmarkStart w:name="z19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6"/>
    <w:bookmarkStart w:name="z3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внеплановых проверок и профилактического контроля с посещением субъектов (объектов) контроля;</w:t>
      </w:r>
    </w:p>
    <w:bookmarkEnd w:id="47"/>
    <w:bookmarkStart w:name="z3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контроля).</w:t>
      </w:r>
    </w:p>
    <w:bookmarkEnd w:id="48"/>
    <w:bookmarkStart w:name="z3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имеющихся источников информации, регулирующие государственные органы формируют субъективные критерии, подлежащие оценке.</w:t>
      </w:r>
    </w:p>
    <w:bookmarkEnd w:id="49"/>
    <w:bookmarkStart w:name="z3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50"/>
    <w:bookmarkStart w:name="z3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51"/>
    <w:bookmarkStart w:name="z3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посещением, не допускается включение их при формировании списков на очередной период государственного контроля.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Субъективные критерии с распределением по степени значимости нарушений в сфере реализации ювелирных и других изделий из драгоценных металлов и драгоценных камней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3"/>
    <w:bookmarkStart w:name="z2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Субъективные критерии оценки степени риска по источникам информации для определения отраслевых рисков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рассчитывается общий показатель степени риска по субъективным критериям по шкале от 0 до 100.</w:t>
      </w:r>
    </w:p>
    <w:bookmarkEnd w:id="55"/>
    <w:bookmarkStart w:name="z2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56"/>
    <w:bookmarkStart w:name="z2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7"/>
    <w:bookmarkStart w:name="z2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8"/>
    <w:bookmarkStart w:name="z2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9"/>
    <w:bookmarkStart w:name="z2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60"/>
    <w:bookmarkStart w:name="z2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61"/>
    <w:bookmarkStart w:name="z2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2"/>
    <w:bookmarkStart w:name="z2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63"/>
    <w:bookmarkStart w:name="z2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2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5"/>
    <w:bookmarkStart w:name="z2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6"/>
    <w:bookmarkStart w:name="z2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7"/>
    <w:bookmarkStart w:name="z2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68"/>
    <w:bookmarkStart w:name="z2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69"/>
    <w:bookmarkStart w:name="z2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2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71"/>
    <w:bookmarkStart w:name="z2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2"/>
    <w:bookmarkStart w:name="z2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3"/>
    <w:bookmarkStart w:name="z2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4"/>
    <w:bookmarkStart w:name="z2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75"/>
    <w:bookmarkStart w:name="z2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6"/>
    <w:bookmarkStart w:name="z2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77"/>
    <w:bookmarkStart w:name="z2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8"/>
    <w:bookmarkStart w:name="z2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9"/>
    <w:bookmarkStart w:name="z3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формировании системы оценки рисков с использованием информационных систем, расчет показателя степени риска по субъективным критериям, а также показатели степени риска, осуществляется согласно перечню субъективных критериев по форме согласно Приложению к настоящим критериям.</w:t>
      </w:r>
    </w:p>
    <w:bookmarkEnd w:id="80"/>
    <w:bookmarkStart w:name="z3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1"/>
    <w:bookmarkStart w:name="z3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82"/>
    <w:bookmarkStart w:name="z3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83"/>
    <w:bookmarkStart w:name="z3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84"/>
    <w:bookmarkStart w:name="z3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85"/>
    <w:bookmarkStart w:name="z3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6"/>
    <w:bookmarkStart w:name="z3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87"/>
    <w:bookmarkStart w:name="z3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4384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89"/>
    <w:bookmarkStart w:name="z3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критерия,</w:t>
      </w:r>
    </w:p>
    <w:bookmarkEnd w:id="90"/>
    <w:bookmarkStart w:name="z3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91"/>
    <w:bookmarkStart w:name="z3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92"/>
    <w:bookmarkStart w:name="z3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Рассчитанные по субъектам (объектам) значения по показателю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93"/>
    <w:bookmarkStart w:name="z3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18034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95"/>
    <w:bookmarkStart w:name="z3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49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23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838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промежуточный показатель степени риска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совместным приказом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00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Управление рисками</w:t>
      </w:r>
    </w:p>
    <w:bookmarkEnd w:id="99"/>
    <w:bookmarkStart w:name="z2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на период, определяемый критериями оценки степени риска регулирующего государственного органа, посредством применения субъективных критериев.</w:t>
      </w:r>
    </w:p>
    <w:bookmarkEnd w:id="100"/>
    <w:bookmarkStart w:name="z2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случаях:</w:t>
      </w:r>
    </w:p>
    <w:bookmarkEnd w:id="101"/>
    <w:bookmarkStart w:name="z2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такие субъекты заключили договоры страхования гражданско-правовой ответственности перед третьими лицами в случаях и порядке, установленных законами Республики Казахстан;</w:t>
      </w:r>
    </w:p>
    <w:bookmarkEnd w:id="102"/>
    <w:bookmarkStart w:name="z2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контроля;</w:t>
      </w:r>
    </w:p>
    <w:bookmarkEnd w:id="103"/>
    <w:bookmarkStart w:name="z2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104"/>
    <w:bookmarkStart w:name="z2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государственными органами ведется с использованием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105"/>
    <w:bookmarkStart w:name="z2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ювелирных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драгоценных камней</w:t>
            </w:r>
          </w:p>
        </w:tc>
      </w:tr>
    </w:tbl>
    <w:bookmarkStart w:name="z23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к субъектам (объектам) контроля в сфере реализации ювелирных и других изделий из драгоценных металлов и драгоценных камней при проведении профилактического контроля с посещением, и внеплановых проверок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совместного приказа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именника в уполномоченной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на произведенные и (или) реализуемые на территории Республики Казахстан ювелирные и другие изделия, а также при ввозе на территорию Республики Казахстан из стран, не входящих в Евразийский экономический союз, драгоценных камней, ювелирных и других изделий до совершения таможенных операций, связанных с таможенным декларированием и таможенной очисткой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ювелирных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драгоценных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драгоценных камней</w:t>
            </w:r>
          </w:p>
        </w:tc>
      </w:tr>
    </w:tbl>
    <w:bookmarkStart w:name="z39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сфере реализации ювелирных и других изделий из драгоценных металлов и драгоценных камней в сфере реализации ювелирных и других изделий из драгоценных металлов и драгоценных камней в соответствии со </w:t>
      </w:r>
      <w:r>
        <w:rPr>
          <w:rFonts w:ascii="Times New Roman"/>
          <w:b/>
          <w:i w:val="false"/>
          <w:color w:val="000000"/>
        </w:rPr>
        <w:t>статьей 138</w:t>
      </w:r>
      <w:r>
        <w:rPr>
          <w:rFonts w:ascii="Times New Roman"/>
          <w:b/>
          <w:i w:val="false"/>
          <w:color w:val="000000"/>
        </w:rPr>
        <w:t xml:space="preserve"> Предпринимательского кодекса Республики Казахстан в отношении субъекта (объекта) осуществляющего реализацию ювелирных и других изделий из драгоценных металлов и драгоценных камней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оценки дополнены приложением 2 в соответствии с совместным приказом Заместителя Премьер-Министра - Министра торговли и интеграции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225-НҚ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13.06.2023 № 110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профилактического контроля с посещением</w:t>
            </w:r>
          </w:p>
          <w:bookmarkEnd w:id="111"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рекомендации,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(объекта)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баллов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отсутствия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100% </w:t>
            </w:r>
          </w:p>
        </w:tc>
      </w:tr>
    </w:tbl>
    <w:bookmarkStart w:name="z4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субъективных критериев определяются для однородных групп субъектов (объектов) контроля в каждой сфере государственного контроля.</w:t>
      </w:r>
    </w:p>
    <w:bookmarkEnd w:id="113"/>
    <w:bookmarkStart w:name="z4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показатель субъективного критерия.</w:t>
      </w:r>
    </w:p>
    <w:bookmarkEnd w:id="114"/>
    <w:bookmarkStart w:name="z4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указываются приоритетные источники информации.</w:t>
      </w:r>
    </w:p>
    <w:bookmarkEnd w:id="115"/>
    <w:bookmarkStart w:name="z4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удельный вес по значимости показателя субъективного критерия в баллах. Сумма всех строк по данной графе не должно превышать 100 баллов.</w:t>
      </w:r>
    </w:p>
    <w:bookmarkEnd w:id="116"/>
    <w:bookmarkStart w:name="z4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критериев, соответствующие каждому условию. Числовые значения указываются в процентах от 0 до 100, в зависимости от повышения риска.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2018 года №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2018 года № 351</w:t>
            </w:r>
          </w:p>
        </w:tc>
      </w:tr>
    </w:tbl>
    <w:bookmarkStart w:name="z15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реализации ювелирных и других изделий из драгоценных металлов и драгоценных камней в отношении субъекта (объекта) осуществляющего реализацию ювелирных и других изделий из драгоценных металлов и драгоценных камней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торговли и интеграции РК от 22.12.2022 № 494-нқ и Министра национальной экономики РК от 22.12.2022 № 134 (вводится в действие с 01.01.2023).</w:t>
      </w:r>
    </w:p>
    <w:bookmarkStart w:name="z29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 с посещением субъекта (объекта) контроля</w:t>
      </w:r>
    </w:p>
    <w:bookmarkEnd w:id="119"/>
    <w:bookmarkStart w:name="z29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0"/>
    <w:bookmarkStart w:name="z29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1"/>
    <w:bookmarkStart w:name="z2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(объекта) контроля</w:t>
      </w:r>
    </w:p>
    <w:bookmarkEnd w:id="122"/>
    <w:bookmarkStart w:name="z3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3"/>
    <w:bookmarkStart w:name="z3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№, дата</w:t>
      </w:r>
    </w:p>
    <w:bookmarkEnd w:id="124"/>
    <w:bookmarkStart w:name="z30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bookmarkEnd w:id="125"/>
    <w:bookmarkStart w:name="z3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26"/>
    <w:bookmarkStart w:name="z3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bookmarkEnd w:id="127"/>
    <w:bookmarkStart w:name="z3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номер), бизнес-идентификационный номер субъекта (объекта)</w:t>
      </w:r>
    </w:p>
    <w:bookmarkEnd w:id="128"/>
    <w:bookmarkStart w:name="z30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контроля___________________________________________________________________</w:t>
      </w:r>
    </w:p>
    <w:bookmarkEnd w:id="129"/>
    <w:bookmarkStart w:name="z3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30"/>
    <w:bookmarkStart w:name="z30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пробирного клейма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оттиска именника, проставляемого субъектом производства ювелирных и других изделий на всех собственных ювелирных и других изделиях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на ярлыках об использовании недрагоценного камня в качестве вставок в ювелирные и другие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именника в уполномоченной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экспертного заключения на произведенные и (или) реализуемые на территории Республики Казахстан ювелирные и другие изделия, а также при ввозе на территорию Республики Казахстан из стран, не входящих в Евразийский экономический союз, драгоценных камней, ювелирных и других изделий до совершения таможенных операций, связанных с таможенным декларированием и таможенной очисткой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государственного контроля, выданного на каждую партию товара при ввозе на территорию Республики Казахстан из стран, не входящих в Евразийский экономический 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 ___________________</w:t>
      </w:r>
    </w:p>
    <w:bookmarkEnd w:id="140"/>
    <w:bookmarkStart w:name="z3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                        подпись</w:t>
      </w:r>
    </w:p>
    <w:bookmarkEnd w:id="141"/>
    <w:bookmarkStart w:name="z3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3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 фамилия, имя, отчество (при его наличии) </w:t>
      </w:r>
    </w:p>
    <w:bookmarkEnd w:id="143"/>
    <w:bookmarkStart w:name="z3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 и надзора _____________________________</w:t>
      </w:r>
    </w:p>
    <w:bookmarkEnd w:id="144"/>
    <w:bookmarkStart w:name="z3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                                                                  подпись</w:t>
      </w:r>
    </w:p>
    <w:bookmarkEnd w:id="145"/>
    <w:bookmarkStart w:name="z3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6"/>
    <w:bookmarkStart w:name="z3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фамилия, имя, отчество (при наличии)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