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d2c3" w14:textId="c5cd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 представления брокерами сведений о сделках проверяемых физических лиц с ценными бумагами или биржевыми товарами, реализованными на товарной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2016 года № 408. Зарегистрирован в Министерстве юстиции Республики Казахстан 31 августа 2016 года № 14178. Утратил силу приказом Министра финансов Республики Казахстан от 4 июня 2020 года № 568.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04.06.2020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7-5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представления брокерами сведений о сделках проверяемых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форму сведений, представляемых брокерами, о сделках проверяемых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Правила представления брокерами сведений о сделках проверяемых физических лиц с биржевыми товарами, реализованными на товарной бирже,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форму сведений, представляемых брокерами, о сделках проверяемых физических лиц с биржевыми товарами, реализованными на товарной бирже,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 1 января 2020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Г. Пирматов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"_____"_____________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К. Бишимбаев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408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представления брокерами сведений о сделках проверяемых физических лиц с ценными бумагами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7-5 </w:t>
      </w:r>
      <w:r>
        <w:rPr>
          <w:rFonts w:ascii="Times New Roman"/>
          <w:b w:val="false"/>
          <w:i w:val="false"/>
          <w:color w:val="000000"/>
          <w:sz w:val="28"/>
        </w:rPr>
        <w:t>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представления брокерами сведений о сделках проверяемых физических лиц с ценными бумагами (далее – сведения).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составляются брокерами, совершающими сделки с ценными бумагами и иными финансовыми инструментами на рынке ценных бумаг (далее – брокеры).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брокерами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 в течение тридцати рабочих дней со дня получения запроса органа государственных доходов Республики Казахстан.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включают в себя следующие данные: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лица-держателя ценных бумаг;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– фамилия, имя, отчество (если оно указано в документе, удостоверяющем личность) физического лица-держателя ценных бумаг;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вид ценной бумаги, держателем которой является физическое лицо, указанное в графе 2;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национальный идентификационный номер ценной бумаги;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количество ценных бумаг того вида, который указан в графе 4;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номинальная стоимость ценных бумаг;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дата сделки;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вид сделки;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контрагент по сделке.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информации по депозитарным распискам, то дополнительно представляется следующая информация: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11 – количество ценных бумаг, составляющее базовый актив одной депозитарной расписки; 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12 – цена размещения депозитарных расписок;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13 – срок обращения депозитарных расписок.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информации по паям дополнительно представляется следующая информация: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наименование паевого инвестиционного фонда;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бизнес-идентификационный номер управляющей компании;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наименование управляющей компании.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представляются отдельно в разрезе видов ценных бумаг.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заверяются электронной цифровой подписью брокера.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408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брокерами, о сделках проверяемых физических лиц с ценными бумагами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3"/>
              <w:gridCol w:w="443"/>
              <w:gridCol w:w="2094"/>
              <w:gridCol w:w="443"/>
              <w:gridCol w:w="704"/>
              <w:gridCol w:w="443"/>
              <w:gridCol w:w="1051"/>
              <w:gridCol w:w="444"/>
              <w:gridCol w:w="444"/>
              <w:gridCol w:w="703"/>
              <w:gridCol w:w="1530"/>
              <w:gridCol w:w="703"/>
              <w:gridCol w:w="703"/>
              <w:gridCol w:w="703"/>
              <w:gridCol w:w="703"/>
              <w:gridCol w:w="716"/>
            </w:tblGrid>
            <w:tr>
              <w:trPr>
                <w:trHeight w:val="30" w:hRule="atLeast"/>
              </w:trPr>
              <w:tc>
                <w:tcPr>
                  <w:tcW w:w="47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Физическое лицо</w:t>
                  </w:r>
                </w:p>
              </w:tc>
              <w:tc>
                <w:tcPr>
                  <w:tcW w:w="44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ценной бумаги</w:t>
                  </w:r>
                </w:p>
              </w:tc>
              <w:tc>
                <w:tcPr>
                  <w:tcW w:w="70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Национальный идентификационный номер ценной бумаги</w:t>
                  </w:r>
                </w:p>
              </w:tc>
              <w:tc>
                <w:tcPr>
                  <w:tcW w:w="44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ценных бумаг</w:t>
                  </w:r>
                </w:p>
              </w:tc>
              <w:tc>
                <w:tcPr>
                  <w:tcW w:w="105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Номинальная стоимость ценных бумаг (тенге)</w:t>
                  </w:r>
                </w:p>
              </w:tc>
              <w:tc>
                <w:tcPr>
                  <w:tcW w:w="44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сделки</w:t>
                  </w:r>
                </w:p>
              </w:tc>
              <w:tc>
                <w:tcPr>
                  <w:tcW w:w="44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сделки</w:t>
                  </w:r>
                </w:p>
              </w:tc>
              <w:tc>
                <w:tcPr>
                  <w:tcW w:w="70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Контрагент по сделке</w:t>
                  </w:r>
                </w:p>
              </w:tc>
              <w:tc>
                <w:tcPr>
                  <w:tcW w:w="15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Кол-во ценных бумаг, составляющее базовый актив одной депозитарной расписки</w:t>
                  </w:r>
                </w:p>
              </w:tc>
              <w:tc>
                <w:tcPr>
                  <w:tcW w:w="70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 размещения депозитарных расписок</w:t>
                  </w:r>
                </w:p>
              </w:tc>
              <w:tc>
                <w:tcPr>
                  <w:tcW w:w="70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обращения депозитарных расписок</w:t>
                  </w:r>
                </w:p>
              </w:tc>
              <w:tc>
                <w:tcPr>
                  <w:tcW w:w="70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паевого инвестиционного фонда</w:t>
                  </w:r>
                </w:p>
              </w:tc>
              <w:tc>
                <w:tcPr>
                  <w:tcW w:w="70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БИН управляющей компании</w:t>
                  </w:r>
                </w:p>
              </w:tc>
              <w:tc>
                <w:tcPr>
                  <w:tcW w:w="71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управляющей компании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</w:t>
                  </w:r>
                </w:p>
              </w:tc>
              <w:tc>
                <w:tcPr>
                  <w:tcW w:w="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(если оно указано в документе, удостоверяющем личность)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0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4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4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1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7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___________________________________________________/_________________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(если оно указано в документе,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 биржевого брокера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408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представления брокерами сведений о сделках проверяемых физических лиц с биржевыми товарами, реализованными на товарной бирже 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7-5 </w:t>
      </w:r>
      <w:r>
        <w:rPr>
          <w:rFonts w:ascii="Times New Roman"/>
          <w:b w:val="false"/>
          <w:i w:val="false"/>
          <w:color w:val="000000"/>
          <w:sz w:val="28"/>
        </w:rPr>
        <w:t>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представления брокерами сведений о сделках проверяемых физических лиц с биржевыми товарами, реализованными на товарной бирже (далее – сведения). 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составляются биржевыми брокерами, осуществляющими деятельность на товарной бирже на основании лицензии (далее – биржевые брокеры). 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биржевыми брокерами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 в течение тридцати рабочих дней со дня получения запроса органа государственных доходов Республики Казахстан. 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включают в себя следующие данные: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лица-покупателя биржевого товара;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– фамилия, имя, отчество (если оно указано в документе, удостоверяющем личность) физического лица-покупателя биржевого товара; 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наименование биржевого товара;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единица измерения биржевого товара;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биржевого товара.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отдельно в разрезе видов биржевого товара.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заверяются электронной цифровой подписью биржевого брокера.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брокерами, о сделках проверяемых физических лиц</w:t>
      </w:r>
      <w:r>
        <w:br/>
      </w:r>
      <w:r>
        <w:rPr>
          <w:rFonts w:ascii="Times New Roman"/>
          <w:b/>
          <w:i w:val="false"/>
          <w:color w:val="000000"/>
        </w:rPr>
        <w:t xml:space="preserve">с биржевыми товарами, реализованными на товарной бирже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5"/>
        <w:gridCol w:w="3090"/>
        <w:gridCol w:w="1605"/>
        <w:gridCol w:w="1605"/>
        <w:gridCol w:w="2791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(если оно 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документе, удостоверяющем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 физического лица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(тенге)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(если оно указано в документе,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биржевого брокера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