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0a446" w14:textId="290a4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расчета и формирования резерва на урегулирование гарантийных случаев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28 июля 2016 года № 347. Зарегистрирован в Министерстве юстиции Республики Казахстан 31 августа 2016 года № 14183.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апреля 2016 года "О долевом участии в жилищном строительстве"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и формирования резерва на урегулирование гарантийных случаев.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строительства, жилищно-коммунального хозяйства Министерства национальной экономики Республики Казахстан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10 октября 2016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национальной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               К. Бишимбаев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2016 года № 347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расчета и формирования резерва на урегулирование гарантийных случаев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- в редакции приказа Министра индустрии и инфраструктурного развития РК от 30.09.2020 </w:t>
      </w:r>
      <w:r>
        <w:rPr>
          <w:rFonts w:ascii="Times New Roman"/>
          <w:b w:val="false"/>
          <w:i w:val="false"/>
          <w:color w:val="ff0000"/>
          <w:sz w:val="28"/>
        </w:rPr>
        <w:t>№ 504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Методика расчета и формирования резерва на урегулирование гарантийных случаев (далее – Методика) разработана 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апреля 2016 года "О долевом участии в жилищном строительстве" (далее – Закон).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регламентирует расчет и формирование целевого уровня и размера резерва Единым оператором жилищного строительства (далее – Единый оператор) на дату заключения договора о предоставлении гарантии для покрытия обязательств, связанных с завершением строительства многоквартирного жилого дома в гарантийных случаях, предусмотренных Законом.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перерасчет размера резерва производится ежеквартально согласно нормативным актам Единого оператора.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единообразного применения в настоящей Методике используются следующие понятия: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ожидаемые потери/убытки (Expected losses – EL) – сумма ожидаемых расходов, возникающих в процессе завершения строительства многоквартирного жилого дома с учетом вероятности наступления гарантийного случая;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целевой уровень резерва на урегулирование гарантийных случаев (Target Reserve Ratio – TRR) – отношение совокупной суммы потерь/убытков Единого оператора к совокупной сумме гарантийных обязательств в процентном выражении;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вероятность наступления гарантийного случая (Probability of Default – PD) – совокупность обстоятельств (объективных и субъективных), влекущих неисполнение уполномоченной компанией/застройщиком своих обязательств по договору о предоставлении гарантии;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сумма гарантийных обязательств (Exposure at Default – EAD) – проектная стоимость многоквартирного жилого дома, определенная Законом за вычетом стоимости незавершенного строительства, подтвержденная отчетом независимой оценочной компании и актами выполненных работ.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непредвиденные расходы (Unexpected Losses – UL) – отклонения от ожидаемого значения убытков, возникающих с определенной степенью вероятности наступления гарантийного случая;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доля невосстанавливаемых ресурсов при завершении строительства многоквартирного жилого дома (Loss Given Default – LGD) – доля совокупной суммы потерь, не восстановленная по итогам завершения строительства многоквартирного жилого дома;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совокупная сумма потерь/убытков (Covered Losses – CL) – сумма ожидаемых и непредвиденных расходов, возникающих в процессе завершения строительства многоквартирного жилого дома при наступлении гарантийного случая.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расчета и определения размера резерва на урегулирование гарантийных случаев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Моделирование размера резерва на урегулирование гарантийных случаев требует установления совокупной суммы потерь/убытков (являющейся суммой ожидаемых и непредвиденных потерь/убытков):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CL = EL + UL (1)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ожидаемые потери/убытки (EL) вычисляются по следующей формуле: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EL =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 xml:space="preserve"> iEADi * PDi * LGDi (2)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расчета непредвиденных потерь/убытков (UL) приведен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расчета вышеуказанных параметров определяется целевой уровень резерва Единого оператора на урегулирование гарантийных случаев: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45085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(3)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Определение составляющих для расчета ожидаемых убытков: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вероятности дефолта уполномоченной компании/застройщика (PD).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определения вероятности дефолта застройщика используется присвоенный рейтинг застройщика. Определение рейтинга застройщика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при этом определение уровня риска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гарантийного взноса, утвержденной приказом Министра национальной экономики Республики Казахстан от 28 июля 2016 года № 338 (зарегистрированный в Реестре государственной регистрации нормативных правовых актов № 14190);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доли невосстанавливаемых ресурсов (LGD).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Учитывая, что обеспечением исполнения обязательств перед Единого оператора будут являться залог доли участия застройщика в уполномоченной компании и залог земельного участка (прав на него), сумма фактического возмещения по обязательствам, обеспеченных залогом, может составлять 50-75% от суммы требований. Соответственно, доля невосстанавливаемых ресурсов на начальном этапе принимается на уровне 25%-50%.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доли невосстанавливаемых ресурсов должна пересматриваться по мере накопления статистических данных по восстановлению ресурсов.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Определение непредвиденных потерь/убытков с помощью метода Монте-Карло в следующем порядке: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Определение исходных данных: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- количество участников (уполномоченных компаний) в портфеле Единого оператора на отчетную дату;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pj - вероятность дефолта j-го участника;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Sj - сумма гарантийных обязательств j-го участника за рассматриваемый горизонт времени;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Lkj – размер непредвиденной потери/убытка Единого оператора в случае дефолта j-го участника k-го испытания;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qj- доля невосстанавливаемой части суммы возмещения по каждому участнику.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каждого участника j генерируются равномерно распределенные от 0 до 1 случайные величины: Dkj, j=1…N, где k – число испытаний;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Проводится проверка выполнения условия наступления события дефолта каждого участника.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Рассчитываются размеры непредвиденных потерь/убытков Единого оператора по каждому участнику для данного испытания на основе функции распределения: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1879600" cy="68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Процедура (подпункты 2-4) повторяется k = 10 000 или более раз.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Сумма непредвиденных потерь/убытков Единого оператора для каждого участника определяется как среднее значение непредвиденных убытков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2032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всех испытаний.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Совокупная сумма непредвиденных потерь/убытков Единого оператора вычисляется как сумма всех непредвиденных потерь/убытков для всех участников в портфеле: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1206500" cy="88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Определив ожидаемые и непредвиденные потери/убытки, Единого оператора рассчитывает свои совокупные суммы потерь/убытков, целевой уровень и размер резерва на урегулирование гарантийных случаев в соответствии с формулами (1) и (3) настоящей Методики.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расчета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гарантийных случаев</w:t>
            </w:r>
          </w:p>
        </w:tc>
      </w:tr>
    </w:tbl>
    <w:bookmarkStart w:name="z6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рейтинга застройщика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определения рейтинга застройщика рассчитывается количество баллов согласно многофакторной модели, основанной на оценке показателей и факторов риска, и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гарантийного взноса, утвержденной приказом Министра национальной экономики Республики Казахстан от 28 июля 2016 года № 338 (зарегистрированный в Реестре государственной регистрации нормативных правовых актов № 14190).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количества баллов застройщику присваивается рейтинг и соответствующее значение PD.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6"/>
        <w:gridCol w:w="4210"/>
        <w:gridCol w:w="5894"/>
      </w:tblGrid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рейтинга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PD, %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баллов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баллов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баллов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баллов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Рейтинг застройщика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6"/>
        <w:gridCol w:w="2854"/>
      </w:tblGrid>
      <w:tr>
        <w:trPr>
          <w:trHeight w:val="30" w:hRule="atLeast"/>
        </w:trPr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Присваиваемый рейтинг заявителю</w:t>
            </w:r>
          </w:p>
        </w:tc>
      </w:tr>
      <w:tr>
        <w:trPr>
          <w:trHeight w:val="30" w:hRule="atLeast"/>
        </w:trPr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баллов и выше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 80 баллов &lt;90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</w:tr>
      <w:tr>
        <w:trPr>
          <w:trHeight w:val="30" w:hRule="atLeast"/>
        </w:trPr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 70 баллов &lt;80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</w:tr>
      <w:tr>
        <w:trPr>
          <w:trHeight w:val="30" w:hRule="atLeast"/>
        </w:trPr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 60 баллов &lt;70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Рейтинг "А" (исключительная кредитоспособность, отличное финансовое состояние) – застройщик обладает высокой возможностью выполнить проект в срок и высоким уровнем финансовой устойчивости;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Рейтинг "В" (хороший уровень кредитоспособности и финансовой устойчивости) – застройщик в целом финансово устойчив и обладает оптимальной возможностью выполнить проект в срок и хорошим уровнем финансовой устойчивости.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Рейтинг "С" (средний уровень кредитоспособности и финансовой устойчивости) – застройщик обладает удовлетворительной возможностью выполнить проект в срок. Отдельные финансовые показатели демонстрируют некоторое отклонение от среднеотраслевых значений, но в целом общее финансовое состояние и платежеспособность являются удовлетворительными.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Рейтинг "D" (уровень кредитоспособности и финансовой устойчивости ниже среднего) – возможность застройщика выполнить проект в срок оценивается как достаточная. Имеются признаки ухудшения финансового состояния (низкий уровень платежеспособности/ стабильное снижение рыночной доли) или имеются форс-мажорные обстоятельства, которые могут негативно повлиять на финансовое состояние. Не исключается вероятность того, что данная компания не достаточно устойчива к колебаниям рыночного спроса.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